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АДМИНИСТРАЦИЯ БОГУЧАНСКОГО  СЕЛЬСОВЕТА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 РАЙОНА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12.05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2025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№ 117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присвоении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земельному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Богучаны, ул. Октябрьская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Рассмотрев поступивше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Администрации Богучанского района о присвоении адреса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руководствуясь пп. 21 п. 1. ст. 14  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i w:val="0"/>
          <w:sz w:val="28"/>
          <w:szCs w:val="28"/>
        </w:rPr>
        <w:instrText xml:space="preserve"> HYPERLINK "http://base.garant.ru/186367/" </w:instrText>
      </w:r>
      <w:r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 Уставом Богучанского сельсовета,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кадастровом квартале 24:07:12010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01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площадью 810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для использования в целях: блокированная жилая застройка, присвоить следующий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улица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Октябрьская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33/1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Отделу ОЖТ администрации Богучанского сельсовета разместить вышеуказанные сведения о присвоении адреса объек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адресации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Государственном адресном реестре.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Контроль за исполнением данного постановления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оставляю за собой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4.  Постановление вступает в силу со дня подписания.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Заместитель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сельсовета        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В.П. Каликайтис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 Math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 Math" w:hAnsi="Cambria Math" w:eastAsia="Cambria Math" w:cs="Cambria Math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Tahoma" w:hAnsi="Tahoma" w:cs="Tahoma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Tahoma" w:hAnsi="Tahoma" w:cs="Tahoma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32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Arial" w:hAnsi="Arial" w:cs="Arial"/>
      <w:sz w:val="16"/>
      <w:szCs w:val="16"/>
    </w:rPr>
  </w:style>
  <w:style w:type="character" w:styleId="844">
    <w:name w:val="Текст выноски Знак"/>
    <w:next w:val="844"/>
    <w:link w:val="843"/>
    <w:rPr>
      <w:rFonts w:ascii="Arial" w:hAnsi="Arial" w:cs="Arial"/>
      <w:sz w:val="16"/>
      <w:szCs w:val="16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180</cp:revision>
  <dcterms:created xsi:type="dcterms:W3CDTF">2007-04-18T07:22:00Z</dcterms:created>
  <dcterms:modified xsi:type="dcterms:W3CDTF">2025-05-12T01:31:47Z</dcterms:modified>
  <cp:version>983040</cp:version>
</cp:coreProperties>
</file>