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01.07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167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ул. Декабристов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правообладателя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емельного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участка с кадастровым номером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24:07:1201005:215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24:07:1201005:215</w:t>
      </w:r>
      <w:r/>
      <w:r>
        <w:rPr>
          <w:rFonts w:ascii="Times New Roman" w:hAnsi="Times New Roman" w:cs="Times New Roman"/>
          <w:i w:val="0"/>
          <w:sz w:val="28"/>
          <w:szCs w:val="28"/>
        </w:rPr>
        <w:t xml:space="preserve">, ранее имеющему адрес: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Россия, Красноярский край, Богучанский район,                 с. Богучаны, ул. Декабристов, 10-1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Декабристов</w:t>
      </w:r>
      <w:r/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сведения о присвоении адреса и кадастровом номере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возлагаю на заместителя главы Богучанского сельсовета Каликайтис В.П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сельсовета                                                      А.С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Медведев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182</cp:revision>
  <dcterms:created xsi:type="dcterms:W3CDTF">2007-04-18T07:22:00Z</dcterms:created>
  <dcterms:modified xsi:type="dcterms:W3CDTF">2025-07-01T02:24:35Z</dcterms:modified>
  <cp:version>983040</cp:version>
</cp:coreProperties>
</file>