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rPr>
          <w:rFonts w:ascii="Times New Roman" w:hAnsi="Times New Roman" w:cs="Times New Roman"/>
          <w:color w:val="000000" w:themeColor="text1"/>
          <w:sz w:val="14"/>
          <w:szCs w:val="18"/>
        </w:rPr>
      </w:pPr>
      <w:r>
        <w:rPr>
          <w:rFonts w:ascii="Times New Roman" w:hAnsi="Times New Roman" w:eastAsia="Times New Roman" w:cs="Times New Roman"/>
          <w:color w:val="000000" w:themeColor="text1"/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2166377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5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 w:themeColor="text1"/>
          <w:sz w:val="14"/>
          <w:szCs w:val="18"/>
        </w:rPr>
      </w:r>
      <w:r>
        <w:rPr>
          <w:rFonts w:ascii="Times New Roman" w:hAnsi="Times New Roman" w:cs="Times New Roman"/>
          <w:color w:val="000000" w:themeColor="text1"/>
          <w:sz w:val="14"/>
          <w:szCs w:val="18"/>
        </w:rPr>
      </w:r>
    </w:p>
    <w:p>
      <w:pPr>
        <w:pStyle w:val="837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  <w:t xml:space="preserve">АДМИНИСТРАЦИЯ БОГУЧАНСКОГО  СЕЛЬСОВЕТА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  <w:t xml:space="preserve">БОГУЧАНСКОГО  РАЙОНА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  <w:t xml:space="preserve">КРАСНОЯРСКОГО КРАЯ 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  <w:t xml:space="preserve">П О С Т А Н О В Л Е Н И Е</w:t>
        <w:br/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r>
    </w:p>
    <w:p>
      <w:pPr>
        <w:pStyle w:val="837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  <w:t xml:space="preserve">7.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  <w:t xml:space="preserve">6.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  <w:t xml:space="preserve">с. Богучаны                                   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  <w:t xml:space="preserve"> 151- п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ОБ УТВЕРЖДЕНИИ АДМИНИСТРАТИВНОГО РЕГЛАМЕНТА ПРЕДОСТАВЛЕНИЯ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МУНИЦИПАЛЬНОЙ УСЛУГИ ПО ДАЧЕ ПИСЬМЕННЫХ РАЗЪЯСНЕНИЙ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НАЛОГОПЛАТЕЛЬЩИКАМ И НАЛОГОВЫМ АГЕНТАМ ПО ВОПРОСАМ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ПРИМЕНЕНИЯ МУНИЦИПАЛЬНЫХ НОРМАТИВНЫХ ПРАВОВЫХ АКТОВ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МУНИЦИПАЛЬНОГО ОБРАЗОВАНИЯ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БОГУЧАНСКИЙ СЕЛЬСОВЕТ </w:t>
      </w: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О МЕСТНЫХ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НАЛОГАХ И СБОРАХ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27.07.2010 N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210-ФЗ "Об организации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предоставления государственных и муниципальных услуг", статьей 21 Налогового кодекса Российской Федерации, Порядком разработки и утверждения административных регламентов предоставления муниципальных услуг, оказываемых Администрацией Богучанского сельсовета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утвержденным Постановлением Администрации Богучанского сельсовета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01.11.2010 № 199-п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постановляю: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Утвердить 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Богучанский сельсовет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местных налогах и сборах (прилагается).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3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2. Контроль за выполнением данного Постановления оставляю за собой.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73"/>
        <w:ind w:firstLine="708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3. Постановление вступает в силу с момента подписания и подлежит опубликованию в официальном печатном издании Богучанского сельсовета «Богучанские ведомости» и размещению на официальном сайте администрации Богучанского сельсовета.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 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Глава сельсовета</w:t>
      </w:r>
      <w:r>
        <w:tab/>
        <w:tab/>
        <w:tab/>
        <w:tab/>
        <w:tab/>
        <w:tab/>
        <w:tab/>
        <w:tab/>
        <w:t xml:space="preserve">       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Л.В. Шмелева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 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Утвержден 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Постановлением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Администрации Богучанского сельсовета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от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_______________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N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___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 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673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АДМИНИСТРАТИВНЫЙ РЕГЛАМЕНТ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pStyle w:val="673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ПРЕДОСТАВЛЕНИЯ МУНИЦИПАЛЬНОЙ УСЛУГИ ПО ДАЧЕ ПИСЬМЕННЫХ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pStyle w:val="673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РАЗЪЯСНЕНИЙ НАЛОГОПЛАТЕЛЬЩИКАМ И НАЛОГОВЫМ АГЕНТАМ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pStyle w:val="673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ПО ВОПРОСАМ ПРИМЕНЕНИЯ МУНИЦИПАЛЬНЫХ НОРМАТИВНЫХ ПРАВОВЫХ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pStyle w:val="673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АКТОВ МУНИЦИПАЛЬНОГО ОБРАЗОВАНИЯ БОГУЧАНСКИЙ СЕЛЬСОВЕТ</w:t>
      </w: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О МЕСТНЫХ </w:t>
      </w: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НАЛОГАХ И СБОРАХ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1. ОБЩИЕ ПОЛОЖЕНИЯ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1.1. Настоящий Админ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истративный регламент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(далее - Административный регламент)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Богучанский сельсовет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о местных налогах и сборах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ее получения.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1.2. Регламент определяет стандарт предоставления муниципальной услуги, сроки и последовательность действий (административных процедур), формы контроля и ответственность должностных лиц органа, предоставляющего данную муниципальную услугу.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1.3. Муниципальная услуга предоставляется физическим и юридическим лицам (за исключением государственных органов и их территориальных органов, органов государственны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х внебюджетных фондов и их территориальных органов, органов местного самоуправления), признаваемым в соответствии с Налоговым кодексом Российской Федерации налогоплательщиками, налоговыми агентами либо их уполномоченным представителям (далее - Заявитель).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 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2. СТАНДАРТ ПРЕДОСТАВЛЕНИЯ МУНИЦИПАЛЬНОЙ УСЛУГИ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2.1. Наименование муниципальной услуги: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Богучанский сельсовет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о местных налогах и сборах.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2.2. Органом предоставления муниципальной услуги является администрация Богучанского сельсовета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(далее - Администрация).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2.3. Результатом предоставления муниципальной услуги в соответствии с Административным регламентом является: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письменное разъяснение Заявителю по вопросам применения муниципальных нормативных правовых актов муниципального образования Богучанский сельсовет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о местных налогах и сборах.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2.4. Срок предоставления муниципальной услуги устанавливается в соответствии с пунктом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3 статьи 34.2 Налогового кодекса Российской Федерации и составляет не более двух месяцев со дня регистрации заявления о предоставлении муниципальной услуги. По решению главы Администрации указанный срок может быть продлен, но не более чем на один месяц.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2.5. Правовые основания для предоставления муниципальной услуги: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Конституция Российской Федерации;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Налоговый кодекс Российской Федерации;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Федеральный закон от 06.10.2003 N 131-ФЗ "Об общих принципах организации местного самоуправления в Российской Федерации";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Федеральный закон от 27.07.2010 N 210-ФЗ "Об организации предоставления государственных и муниципальных услуг";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Федеральный закон от 27.07.2006 N 152-ФЗ "О персональных данных";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Устав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МО Богучанский сельсовет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2.6. Перечень документов, необходимых для предоставления муниципальной услуги: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заявление о даче письменных разъяснений по вопросам применения муниципальных нормативных правовых актов муниципального образования Богучанский сельсовет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о местных налогах и сборах. Рекомендуемая форма приведена в приложении N 1 к настоящему Административному регламенту (далее - заявление);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доверенность или иной документ, подтверждающий полномочия представителя Заявителя (при подаче заявления представителем Заявителя).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2.6.1. Заявление подается Заявителем в письменной форме или в форме электронного документа с указанием следующей информации: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наименование Администрации;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содержания заявления;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для Заявителей - физических лиц: фамилия, имя, отчество (последнее - при наличии), номе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р контактного телефона, почтовый адрес, адрес электронной почты, если ответ должен быть направлен в форме электронного документа, личная подпись Заявителя, дата, а также способ получения муниципальной услуги (в форме бумажного или электронного документа);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для Заявителей - юридических лиц: заявление оформляется на бланке с указанием наименования юридического лица, идентификационного номера налогопла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тельщика (ИНН), номера контактного телефона исполнителя, почтового адреса, адреса электронной почты, если ответ должен быть направлен в форме электронного документа, за подписью руководителя юридического лица или должностного лица, имеющего право подписи с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оответствующих заявлений, с указанием должности, фамилии, имени, отчества (последнее - при наличии), даты, проставлением печати юридического лица (при наличии), а также способа получения муниципальной услуги (в форме бумажного или электронного документа).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В случае необходимости в подтверждение своих доводов Заявитель прилагает к заявлению документы либо их копии, содержащие дополнительные сведения, относящиеся к сути заявления.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2.6.2. Заявление и документы, прилагаемые к нему (в случае их направления), должны быть составлены на русском языке.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2.7. Основания для отказа в приеме заявления и документов (в случае их направления) отсутствуют.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2.8. Основания для приостановления предоставления муниципальной услуги отсутствуют.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2.9. Основаниями для отказа в предоставлении муниципальной услуги являются: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2.9.1. Письменный отказ Заявителя от предоставления муниципальной услуги.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2.9.2. Несоответствие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Заявителя требованиям, предусмотренным пунктом 1.3 настоящего Административного регламента, а также отсутствие документа, предусмотренного абзацем третьим пункта 2.6 настоящего Административного регламента (при подаче заявления представителем Заявителя).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2.9.3. Отсутствие в письменном заявлении фамилии заявителя или почтового адреса.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2.9.4. Текст заявления не поддается прочтению, о чем в течение 7 дней сообщается Заявителю, если его фамилия и почтовый адрес поддаются прочтению.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2.10. Помимо оснований для отказа в предоставлении муниципальной услуги, указанных в пункте 2.9 настоящего Административного регламента, такими основаниями (в том числе для последующего отказа) являются: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предоставленный ранее комплект документов;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в) истечение срока действия документов или изменение информации после первоначального отказа в предоставлении муниципальной услуги;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г) выявление документально подтвержденного факта (признаков) ошибочного или противоправного действия (бе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действия) должностных лиц, специалистов Администрации при первоначальном отказе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2.11.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Администрацию в порядке, установленном настоящим Административным регламентом.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2.12. Предоставление муниципальной услуги осуществляется на бесплатной основе.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2.13. Максимальный срок ожидания в очереди при подаче Заявителем заявления и при получении результата предоставления муниципальной услуги составляет не более 15 минут.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2.14. Заявление, поступившее в Администрацию посредством почтовой связи или факсимильной связи, по электронной почте или ч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ерез единый портал государственных и муниципальных услуг и (или) региональный портал государственных и муниципальных услуг либо личного обращения, регистрируется в системе электронного документооборота в течение одного рабочего дня со дня его поступления.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В случае если заявление и прилагаемые к нему документы (в случае их направления) поступили в нерабочее время (в том числе в праздничный или выходной день), они регистрируются в первый рабочий день, следующий за днем их поступления.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2.15. Требования к удобству и комфорту мест предоставления муниципальной услуги: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2.1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5.1. Центральный вход в здание, в котором располагается Администрация, оборудован информационной конструкцией (вывеской), содержащей полное наименование Администрации, пандусом для беспрепятственного доступа для лиц с ограниченными возможностями здоровья.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2.15.2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. Вход в помещения, в которых предоставляется муниципальная услуга,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2.15.3. Места ожидания оборудованы стульями. Количество мест ожидания определяется исходя из возможностей для их размещения в здании.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2.15.4. Места получения информации, предназначенные для ознакомления с информационными материалами, оборудуются информационными стендами.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2.15.5. Место заполнения необходимых документов оборудовано столом и стулом, письменными принадлежностями.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2.15.6. Здание, в котором располагается Администрация, оборудовано средствами пожаротушения и оказания первой медицинской помощи (аптечки).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2.16. На информационных стендах Администрации размещается следующая информация: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место нахождения и график работы Администрации;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номера телефонов Администрации;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номера кабинетов, где осуществляется прием и консультирование заинтересованных лиц, фамилии, имена, отчества (последнее - при наличии) и должности работников, осуществляющих прием и консультирование по предоставлению муниципальной услуги;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адрес официального сайта муниципального образования </w:t>
      </w:r>
      <w:r>
        <w:rPr>
          <w:rFonts w:ascii="Times New Roman" w:hAnsi="Times New Roman" w:eastAsia="Times New Roman" w:cs="Times New Roman"/>
          <w:color w:val="000000" w:themeColor="text1"/>
        </w:rPr>
      </w:r>
      <w:hyperlink r:id="rId9" w:tooltip="https://ssbog24.gosuslugi.ru/" w:history="1">
        <w:r>
          <w:rPr>
            <w:rStyle w:val="835"/>
            <w:rFonts w:ascii="Times New Roman" w:hAnsi="Times New Roman" w:eastAsia="Times New Roman" w:cs="Times New Roman"/>
            <w:color w:val="000000" w:themeColor="text1"/>
          </w:rPr>
          <w:t xml:space="preserve">https://ssbog24.gosuslugi.ru/</w:t>
        </w:r>
        <w:r>
          <w:rPr>
            <w:rStyle w:val="835"/>
            <w:rFonts w:ascii="Times New Roman" w:hAnsi="Times New Roman" w:eastAsia="Times New Roman" w:cs="Times New Roman"/>
            <w:color w:val="000000" w:themeColor="text1"/>
          </w:rPr>
        </w:r>
      </w:hyperlink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в сети Интернет, содержащего информацию о предоставлении данной муниципальной услуги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адрес электронной почты Администрации ssbog24@yandex.ru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текст настоящего Административного регламента;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рекомендуемая форма заявления о предоставлении муниципальной услуги (приведена в приложении N 1 к настоящему Административному регламенту);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описание процедуры предоставления муниципальной услуги в виде блок-схемы (приложение N 2 к настоящему Административному регламенту);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перечень документов, необходимых для получения муниципальной услуги и требования к ним (при наличии).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2.17. Показателями, характеризующими доступность и качество муниципальной услуги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являются: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открытость и полнота информации для Заявителей о порядке и сроках предоставления муниципальной услуги;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соблюдение стандарта предоставления муниципальной услуги;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доля обоснованных жалоб Заявителей, поступивших в администрацию и (или) в Администрацию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комиссию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на действ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ия (ил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и бездействие) и решения должностных лиц, Специалистов Администрации при предоставлении муниципальной услуги - не более 5 процентов от общего количества жалоб Заявителей на действия (или бездействие) и решения должностных лиц и специалистов Администрации.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2.18. Особенность предоставления муниципальной услуги в многофункциональном центре (далее - МФЦ):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В случае включения муниципальной услуги в перечень муниципальных услуг и иных услуг, предоставляемых в МФЦ, утвержденный правовым актом Администрации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, предоставление муниципальной услуги по выбору Заявителя может осуществляться через МФЦ, расположенный по адресу: 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Красноярский край, Богучанский район, с. Богучаны, ул. Береговая, д.58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2.19. Предоставление муниципальной услуги в упреждающем (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проактивном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) режиме не осуществляется.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 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3. СОСТАВ, ПОСЛЕДОВАТЕЛЬНОСТЬ И СРОКИ ВЫПОЛНЕНИЯ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АДМИНИСТРАТИВНЫХ ПРОЦЕДУР, ТРЕБОВАНИЯ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К ПОРЯДКУ ИХ ВЫПОЛНЕНИЯ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3.1. Предоставление муниципальной услуги включает в себя следующие административные процедуры: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прием и регистрация заявления Заявителя;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рассмотрение заявления Заявителя и принятие решения о предоставлении муниципальной услуги либо об отказе в ее предоставлении;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подготовка и направление Заявителю результата предоставления муниципальной услуги.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3.1.1. Прием и регистрация заявления Заявителя: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1) Основанием для начала административной процедуры является поступление в Администрацию заявления Заявителя и прилагаемых к нему документов (в случае их направления);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2) Прием и регистрация заявления Заявителя и прилагаемых к нему документов (в случае их направления) осуществляется секретарем Администрации в течение одного рабочего дня со дня его поступления.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Зарегистрированное заявление Заявителя и прилагаемые к нему документы (в случае их направления) передаются в отдел ФЭО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Администрации;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3) Лицом, ответственным за выполнение административной процедуры является секретарь Администрации;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4) Срок выполнения административной процедуры при поступлении заявления Заявителя и прилагаемых к нему документов (в случае их направления) в Администрацию составляет не более 1 рабочего дня с даты их поступления;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5) Результатом выполнения административной процедуры является регистрация заявления и прилагаемых к нему документов (в случае их направления).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3.1.2. Рассмотрение заявления Заявителя и принятие решения о предоставлении муниципальной услуги либо об отказе в ее предоставлении: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1) Основанием для начала административной процедуры является регистрация заявления Заявителя и прилагаемых к нему документов (в случае их направления) и их поступление в отдел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ФЭО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Администрации;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2) Специалист отдела ФЭО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(далее - Специалист) Администрации рассматривает заявление Заявителя и прилагаемые к нему документы (в случае их направления) на наличие или отсутствие оснований для отказа в предоставлении муниципальной услуги;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3) При наличии оснований для отказа в предоставлении муниципальной услуги, предусмотренных пунктами 2.9, 2.10 настоящего Административного регламента, Специалист Администрации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в течение 10 рабочих дней с даты регистрации заявления Заявителя осуществляет подготовку мотивированного отказа в предоставлении муниципальной услуги (далее - мотивированный отказ) и передает его на согласование начальнику отдела ФЭО Администрации;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4) Согласованный начальником отдела ФЭО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Администрации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мотивированный отказ передается на рассмотрение и подписание главе Администрации;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5) Мотивированный отказ напра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вляется Заявителю за подписью главы Администрациив срок не позднее 15 рабочих дней с даты регистрации заявления Заявителя - по почтовому адресу, указанному в заявлении Заявителя (если иной способ получения муниципальной услуги не указан в заявлении). Мо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тивированный отказ на заявление Заявителя, поступившее в форме электронного документа, направляется в форме электронного документа по адресу электронной почты, указанному в заявлении (если иной способ получения муниципальной услуги не указан в заявлении);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6) При отсутствии оснований для отказа в предоставлении муниципальной услуги, указанных в пунктах 2.9, 2.10 настоящего Административного регламента, Специалист Администрации принимает решение о предоставлении муниципальной услуги;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7) Ответственным за выполнение административной процедуры является Специалист Администрации, начальник отдела ФЭО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Администрации, глава Администрации;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8) Срок выполнения административной процедуры составляет не более 15 рабочих дней с даты регистрации заявления Заявителя и прилагаемых к нему документов (в случае их направления);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9) Результатом выполнения административной процедуры является принятие решения о предоставлении (об отказе в предоставлении) муниципальной услуги.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3.1.3. Подготовка и направление Заявителю результата предоставления муниципальной услуги: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1) Основанием для начала административной процедуры является принятие Специалистом Администрации решения о предоставлении муниципальной услуги;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2) Специалист администрации подготавливает проект ответа на заявление Заявителя и передает его на согласование начальнику отдела ФЭО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Администрации;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3) Согласованный начальником отдела ФЭО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Администрации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проект ответа передается на рассмотрение и подписание главе Администрации;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4) Результат предоставления муниципальной услуги направляется Заявителю за подписью главы Администрации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в срок не позднее 2 месяцев с даты регистрации заявления Заявителя по почтовому адресу, указанному в заявлении Заявителя (если иной способ получения муниципальной услуги не указан в заявлении). Результат предоставления муниципальной услуги на заявление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Заявителя, поступившее в форме электронного документа, направляется в форме электронного документа по адресу электронной почты, указанному в заявлении (если иной способ получения муниципальной услуги не указан в заявлении);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5) Лицами, ответственными за выполнение административной процедуры, являются Специалист Администрации, начальник отдела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ФЭО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Администрации, глава сельсовета;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6) Срок выполнения административной процедуры составляет не более 2 месяцев со дня регистрации заявления Заявителя и прилагаемых к нему документов (в случае их направления).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По решению главы администрации указанный срок может быть продлен, но не более чем на один месяц, с одновременным информированием Заявителя и указанием причин продления срока предоставления муниципальной услуги;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7) Результатом выполнения административной процедуры является направление Заявителю письменного разъяснения по вопросам применения муниципальных нормативных правовых актов муниципального образования Богучанский сельсовет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о местных налогах и сборах.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3.2. Последовательность административных процедур представлена блок-схемой (приложение N 2 к настоящему Административному регламенту).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3.3. Информирование о порядке предоставления муниципальной услуги осуществляется специалистами Администрации: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а) непосредственно в Администрации при личном обращении (устные обращения);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б) посредством телефонной связи;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в) в письменной форме по письменному запросу Заявителей о получении консультации;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г) по электронной почте при поступлении запроса о получении консультации в электронном виде;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д) посредством размещения информации на информационных стендах.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3.4. Сведения о месте нахождения, режиме работы, контактных телефонах, адресе электронной почты Администрации размещаются на официальном сайте муниципального образования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Богучанский сельсовет, на сайте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https://ssbog24.gosuslugi.ru/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и информационных стендах в помещении администрации.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Справочная информация об Администрации.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Юридический и почтовый адрес: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663431, Красноярский край, Богучанский район, с. Богучаны, ул. Октябрьская, 70. 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Дни и время приема Заявителей по вопросам подачи заявления для предоставления муниципальной услуги и консультаций: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Понедельник - пятница с 08:00 до 13:00; с 14.00 до 16.00,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обеденный перерыв - с 13.00 до 14.00.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Телефоны Администрации: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8(39162)21-591, 8(39162)2-13-55.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Адрес электронной почты: ssbog24@yandex.ru/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3.5. Устное информирование о предоставлении муниципальной услуги осуществляется Специалистами Администрации при личном обращении Заявителя в Администрацию либо по телефону.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Ответ на телефонный звонок должен начинаться с информации о наименовании Администрации, должности, фамилии, имени, отчестве (последнее - при наличии) Специалиста Администрации, принявшего телефонный звонок.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3.6. Текст настоящего Административного регламента размещен на официальном сайте муниципального образования Богучанский сельсовет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https://ssbog24.gosuslugi.ru/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в сети Интернет.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3.7. Порядок предоставления муниципальной услуги не зависит от категории объединенных общими признаками заявителей, указанных в пункте 1.3 Административного регламента. В связи с этим варианты предоставлени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 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4. ФОРМЫ КОНТРОЛЯ ЗА ИСПОЛНЕНИЕМ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4.1. Контроль за исполнением настоящего Административного регламента осуществляется в форме текущего и внепланового контроля.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4.2. Текущий контроль за соблюдением должностными лицами, специалистами Администрации установленной последовательности и сроков предоставления муниципальной услуги; исполнением порядка и сроков вып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олнения административных процедур, определенных настоящим Административным регламентом; правомерности принятых решений по вопросам приема поданных заявлений; обоснованностью и правомерностью оформленных заключений и принятых решений по представленным Заяви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телем документам; состоянием помещений, используемых для предоставления муниципальной услуги;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Богучанский сельсовет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, оснащением рабочих мест должностных лиц и Специалистов Администрации, задействованных в предоставлении муниципальной услуги, осуществляется главой Администрации.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4.3. Периодичность текущего контроля устанавливается главой Администрации.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4.4. Внеплановый контроль за исполнением должностными лиц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ами,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Специалистами Администрации требований настоящего Административного регламента проводится главой Администрации на основании жалоб Заявителей на действия (бездействие) должностных лиц, Специалистов Администрации в ходе предоставления муниципальной услуги.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4.5. В случае выявления нарушений требований настоящего Административного регламента виновные должностные лица, Специалисты Администрации привлекаются к дисциплинарной ответственности в соответствии с действующим законодательством Российской Федерации.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4.3. Контроль предоставления муниципальной услуги со стороны граждан, их объединений и организаций осуществляется путем получения информации о ней по телефону, по письменным запросам, по электронной почте, на официальном сайте муниципального образования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Богучанский сельсовет 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https://ssbog24.gosuslugi.ru/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в сети Интернет, через единый портал государственных и муниципальных услуг либо региональный портал государственных и муниципальных услуг www.krskstate.ru.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 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5. ДОСУДЕБНЫЙ (ВНЕСУДЕБНЫЙ) ПОРЯДОК ОБЖАЛОВАНИЯ РЕШЕНИЙ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И ДЕЙСТВИЙ (БЕЗДЕЙСТВИЯ), ОСУЩЕСТВЛЯЕМЫХ (ПРИНЯТЫХ)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В ХОДЕ ПРЕДОСТАВЛЕНИЯ МУНИЦИПАЛЬНОЙ УСЛУГИ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5.1. Заявитель имеет право на досудебное (внесудебное) обжалование решений и действий (бездействия) должностных лиц, Специалистов Администрации, осуществляемых при предоставлении муниципальной услуги.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В досудебном порядке Заявитель вправе обжаловать действия (бездействие):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Специалистов Администрации - начальнику отдела ФЭО Администрации;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- главы Администрации - заместителю Главы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Администрации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Главе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администрации.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5.2. Предметом досудебного (внесудебного) обжалования является: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1) нарушение срока регистрации заявления о предоставлении муниципальной услуги;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2) нарушение срока предоставления муниципальной услуги;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3) требование у Заявителя документов или информации либо осуществления действий, предс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органов местного самоуправления муниципального образования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Богучанский сельсовет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, настоящим Административным регламентом;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4) отказ в приеме у Заявите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ля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органов местного самоуправления муниципального образования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Богучанский сельсовет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, настоящим Административным регламентом;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5) отказ в предоставлении муниципальной услуги, если основания отказа не предусмотрены федеральны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органов местного самоуправления муниципального образования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Богучанский сельсовет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, настоящим Административным регламентом;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6) требование у Заявителя при предоставл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Богучанский сельсовет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, настоящим Административным регламентом;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7) отказ главы Администрации, должностного лица, Специалиста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8) нарушение срока или порядка выдачи документов по результатам предоставления муниципальной услуги;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9) приостановление предоставления муниципальной услуги, если основания приостановления не предусмотрены нормативными правовыми актами Российской Федерации, нормативными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правовыми актами субъектов Российской Федерации, муниципальными правовыми актами органов местного самоуправления муниципального образования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Богучанский сельсовет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, настоящим Административным регламентом;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10) требование у Заявителя при предоставлении муниципальной услуги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б) наличия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предоставленных ранее комплект документов;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в) истечения срока действия документов или изменение информации после первоначального отказа в предоставлении муниципальной услуги;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г) выявления документально подтвержденного факта (признаков) ошибочного или противоправного действия (бе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действия) должностных лиц, Специалистов Администрации при первоначальном отказе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5.3. Жалоба рассматрив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ается в порядке, определенном Федеральным законом от 27.07.2010 N 210-ФЗ "Об организации предоставления государственных и муниципальных услуг", принимаемых в соответствии с ним иными нормативными правовыми актами, и настоящим Административным регламентом.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5.4. Основанием для начала процедур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ы д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осудебного обжалования в отношении должностного лица, Специалиста Администрации является регистрация жалобы, представленной непосредственно Заявителем или его представителем. Жалоба подается в письменной форме на бумажном носителе или в электронной форме.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Жалоба на действия (бездействие) и решения, осуществляемые (принятые) в ходе предоставления муниципальной услуги главе сельсовета может быть направлена по почте по адресу: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663431, Красноярский край, Богучанский район, с. Богучаны, ул. Октябрьская, 70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с использованием официального сайта муниципального образования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Богучанский сельсовет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: </w:t>
      </w:r>
      <w:r>
        <w:rPr>
          <w:rFonts w:ascii="Times New Roman" w:hAnsi="Times New Roman" w:eastAsia="Times New Roman" w:cs="Times New Roman"/>
          <w:color w:val="000000" w:themeColor="text1"/>
        </w:rPr>
      </w:r>
      <w:hyperlink r:id="rId10" w:tooltip="https://ssbog24.gosuslugi.ru/" w:history="1">
        <w:r>
          <w:rPr>
            <w:rStyle w:val="835"/>
            <w:rFonts w:ascii="Times New Roman" w:hAnsi="Times New Roman" w:eastAsia="Times New Roman" w:cs="Times New Roman"/>
            <w:color w:val="000000" w:themeColor="text1"/>
          </w:rPr>
          <w:t xml:space="preserve">https://ssbog24.gosuslugi.ru/</w:t>
        </w:r>
        <w:r>
          <w:rPr>
            <w:rStyle w:val="835"/>
            <w:rFonts w:ascii="Times New Roman" w:hAnsi="Times New Roman" w:eastAsia="Times New Roman" w:cs="Times New Roman"/>
            <w:color w:val="000000" w:themeColor="text1"/>
          </w:rPr>
        </w:r>
      </w:hyperlink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в сети Интернет,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Жалоба на действия (бездействие) должностных лиц (за исключением главы сельсовета), Специалистов Администрации подается главе Администрации в Администрацию и может быть направлена по почте по адресу: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663431, Красноярский край, Богучанский район, с. Богучаны, ул. Октябрьская, 70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и (или) электронной почте на адрес: </w:t>
      </w:r>
      <w:hyperlink r:id="rId11" w:tooltip="http://ssbog24@yandex.ru" w:history="1">
        <w:r>
          <w:rPr>
            <w:rStyle w:val="835"/>
            <w:rFonts w:ascii="Times New Roman" w:hAnsi="Times New Roman" w:eastAsia="Times New Roman" w:cs="Times New Roman"/>
            <w:color w:val="000000" w:themeColor="text1"/>
          </w:rPr>
          <w:t xml:space="preserve">ssbog24@yandex.ru</w:t>
        </w:r>
      </w:hyperlink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через единый портал государственных и муниципальных услуг либо региональный портал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Жалоба регистрируется в течение 3 календарных дней с даты поступления.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5.5. Заявитель имеет право на получение информации и документов в Администрацию, необходимых для обоснования и рассмотрения жалобы.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5.6. Жалоба в письменной форме должна содержать следующую информацию: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а) наименование Администрации, должностного лица Администрации или Специалиста Администрации, решения и действия (бездействие) которых обжалуются;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б) фамилию, имя, отчество (последнее - при наличии), сведения о месте жительства Заявителя -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в) сведения об обжалуемых решениях и действиях (бездействии) должностного лица, Специалиста Администрации;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г) доводы, на основании которых Заявитель не согласен с решением и действием (бездействием) должностного лица, Специалиста Администрации.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В случае необходимости подтверждения Заявителем своих доводов к жалобе могут прилагаться документы и материалы либо их копии, в таком случае в жалобе приводится перечень прилагаемых к ней документов и материалов либо их копий.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Жалоба подписывается Заявителем или его представителем.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5.7. Жалоба подлежит рассмотрению должностным лицом, наделенным полномочиями по рассмотрению жалоб в соответствии с пунктом 5.1 настоящего Административного регламента, в течение 15 рабочих дней со дня ее регистрации.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В слу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чае обжалования отказа в приеме документов у Заявителя либо в исправлении допущенных опечаток и ошибок, а также в случае обжалования нарушения установленного срока таких исправлений жалоба подлежит рассмотрению в течение 5 рабочих дней со дня регистрации.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5.8. По результатам рассмотрения жалобы принимается одно из следующих решений: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нормативно правовыми актами органов местного самоуправления муниципального образования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Богучанский сельсовет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, а также в иных формах;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2) в удовлетворении жалобы отказывается.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Не позднее 1 рабочего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В случае признания жалобы подлежащей удовлетворению в ответе Заявителю, указанном в абзаце четвертом настоящего пункта, дается информация о действиях, осуществляемых Администрацией, в целях незамедлитель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В случае признания жалобы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не подлежащей удовлетворению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в ответе Заявителю, указанном в абзаце четвертом настоящего пункта, даются аргументированные разъяснения о причинах принятого решения, а также информация о порядке обжалования принятого решения.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полномочиями по рассмотрению жалоб в соответствии с пунктом 5.1 настоящего Административного регламента, незамедлительно направляют имеющиеся материалы в органы прокуратуры.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 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Приложение N 1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к Административному регламенту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предоставления муниципальной услуги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по даче письменных разъяснений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налогоплательщикам и налоговым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агентам по вопросам применения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муниципальных нормативных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правовых актов муниципального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образования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___________________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о местных налогах и сборах,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утвержденному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Постановлением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Администрации Богучанского сельсовета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_____________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N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___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 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Администрацию Богучанского сельсовета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от _____________________________________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(ФИО физического лица)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________________________________________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(ФИО руководителя организации)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________________________________________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(адрес)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________________________________________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(контактный телефон)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ЗАЯВЛЕНИЕ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о даче письменных разъяснений по вопросам применения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муниципальных нормативных правовых актов муниципального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образования Богучанский сельсовет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о местных налогах и сборах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    Прошу дать разъяснение по вопросу _____________________________________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Заявитель: ________________________________________________________________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             (для физ. лиц - Ф.И.О. (последнее - при наличии), подпись;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          для юр. лиц - должность представителя юридического лица, подпись)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"__" __________ 20__ г.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М.П. (при наличии)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 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 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 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 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 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eastAsia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</w:p>
    <w:p>
      <w:pPr>
        <w:jc w:val="right"/>
        <w:rPr>
          <w:rFonts w:ascii="Times New Roman" w:hAnsi="Times New Roman" w:eastAsia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</w:p>
    <w:p>
      <w:pPr>
        <w:jc w:val="right"/>
        <w:rPr>
          <w:rFonts w:ascii="Times New Roman" w:hAnsi="Times New Roman" w:eastAsia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</w:p>
    <w:p>
      <w:pPr>
        <w:jc w:val="right"/>
        <w:rPr>
          <w:rFonts w:ascii="Times New Roman" w:hAnsi="Times New Roman" w:eastAsia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</w:p>
    <w:p>
      <w:pPr>
        <w:jc w:val="right"/>
        <w:rPr>
          <w:rFonts w:ascii="Times New Roman" w:hAnsi="Times New Roman" w:eastAsia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Приложение N 2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к Административному регламенту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предоставления муниципальной услуги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по даче письменных разъяснений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налогоплательщикам и налоговым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агентам по вопросам применения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муниципальных нормативных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правовых актов муниципального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образования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Богучанский сельсовет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о местных налогах и сборах,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утвержденному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Постановлением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Богучанского сельсовета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от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__________________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N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___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 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bookmarkStart w:id="0" w:name="_GoBack"/>
      <w:r>
        <w:rPr>
          <w:rFonts w:ascii="Times New Roman" w:hAnsi="Times New Roman" w:eastAsia="Times New Roman" w:cs="Times New Roman"/>
          <w:color w:val="000000" w:themeColor="text1"/>
        </w:rPr>
      </w:r>
      <w:bookmarkEnd w:id="0"/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БЛОК-СХЕМА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 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┌─────────────────────────────────────────┐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│ Прием и регистрация заявления Заявителя │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└───────────────────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┬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─────────────────────┘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\/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┌──────────────────────────────────────────────────────┐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│  Рассмотрение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заявления Заявителя и принятие решения │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│ о предоставлении муниципальной услуги либо об отказе │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│                  в ее предоставлении                 │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└──────────────────────────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┬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───────────────────────────┘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\/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┌────────────────────────────────────────────────────────────┐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│ Основания для отказа в предоставлении муниципальной услуги │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└─────────────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┬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───────────────────────────────────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┬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──────────┘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\/ нет                              \/ да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┌──────────────────────────────────┐ ┌─────────────────────────────────┐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│ Направление Заявителю результата │ │ Уведомление Заявителя об отказе │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│    предоставления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муниципальной  │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│ в предоставлении муниципальной  │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│              услуги              │ │               услуги            │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└──────────────────────────────────┘ └─────────────────────────────────┘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 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unhideWhenUsed/>
    <w:rPr>
      <w:color w:val="0563c1" w:themeColor="hyperlink"/>
      <w:u w:val="single"/>
    </w:rPr>
  </w:style>
  <w:style w:type="character" w:styleId="836">
    <w:name w:val="Unresolved Mention"/>
    <w:basedOn w:val="832"/>
    <w:uiPriority w:val="99"/>
    <w:semiHidden/>
    <w:unhideWhenUsed/>
    <w:rPr>
      <w:color w:val="605e5c"/>
      <w:shd w:val="clear" w:color="auto" w:fill="e1dfdd"/>
    </w:rPr>
  </w:style>
  <w:style w:type="paragraph" w:styleId="837" w:customStyle="1">
    <w:name w:val="Основной текст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8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hyperlink" Target="https://ssbog24.gosuslugi.ru/" TargetMode="External"/><Relationship Id="rId10" Type="http://schemas.openxmlformats.org/officeDocument/2006/relationships/hyperlink" Target="https://ssbog24.gosuslugi.ru/" TargetMode="External"/><Relationship Id="rId11" Type="http://schemas.openxmlformats.org/officeDocument/2006/relationships/hyperlink" Target="http://ssbog24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Прокуратура РФ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Оленюк Роман Сергеевич</dc:creator>
  <cp:keywords/>
  <dc:description/>
  <cp:revision>7</cp:revision>
  <dcterms:created xsi:type="dcterms:W3CDTF">2024-06-05T08:24:00Z</dcterms:created>
  <dcterms:modified xsi:type="dcterms:W3CDTF">2024-06-27T04:52:51Z</dcterms:modified>
</cp:coreProperties>
</file>