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691515" cy="866775"/>
                <wp:effectExtent l="0" t="0" r="0" b="9525"/>
                <wp:docPr id="1" name="Рисунок 1" descr="gerb vedo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 vedom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691515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54.45pt;height:68.25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АДМИНИСТРАЦИЯ БОГУЧАНСКОГО СЕЛЬСОВЕТА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БОГУЧАНСКОГО РАЙОНА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КРАСНОЯРСКОГО КРАЯ</w:t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center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jc w:val="left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П О С Т А Н О В Л Е Н И Е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            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jc w:val="left"/>
        <w:spacing w:after="4" w:line="248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18.04.2025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  <w:lang w:val="en-US"/>
        </w:rPr>
        <w:t xml:space="preserve">c</w:t>
      </w:r>
      <w:r>
        <w:rPr>
          <w:rFonts w:ascii="Times New Roman" w:hAnsi="Times New Roman"/>
          <w:color w:val="000000"/>
          <w:sz w:val="26"/>
          <w:szCs w:val="26"/>
        </w:rPr>
        <w:t xml:space="preserve">. Богучаны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№ </w:t>
      </w:r>
      <w:r>
        <w:rPr>
          <w:rFonts w:ascii="Times New Roman" w:hAnsi="Times New Roman"/>
          <w:color w:val="000000"/>
          <w:sz w:val="26"/>
          <w:szCs w:val="26"/>
        </w:rPr>
        <w:t xml:space="preserve">94-п</w:t>
      </w:r>
      <w:r>
        <w:rPr>
          <w:rFonts w:ascii="Times New Roman" w:hAnsi="Times New Roman"/>
          <w:color w:val="000000"/>
          <w:sz w:val="26"/>
          <w:szCs w:val="26"/>
        </w:rPr>
      </w:r>
    </w:p>
    <w:p>
      <w:pPr>
        <w:ind w:right="-1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 xml:space="preserve">Правил определения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требований к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  <w:t xml:space="preserve">отдельным видам </w:t>
      </w:r>
      <w:r>
        <w:rPr>
          <w:rFonts w:ascii="Times New Roman" w:hAnsi="Times New Roman"/>
          <w:sz w:val="28"/>
          <w:szCs w:val="28"/>
        </w:rPr>
        <w:t xml:space="preserve">товаров, работ, услуг 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ind w:left="0" w:right="0" w:firstLine="0"/>
        <w:jc w:val="left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  <w:outlineLvl w:val="0"/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том числе предельных </w:t>
      </w:r>
      <w:r>
        <w:rPr>
          <w:rFonts w:ascii="Times New Roman" w:hAnsi="Times New Roman"/>
          <w:sz w:val="28"/>
          <w:szCs w:val="28"/>
        </w:rPr>
        <w:t xml:space="preserve">цен товаров, работ, услуг)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p>
      <w:pPr>
        <w:jc w:val="left"/>
        <w:spacing w:after="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  <w:r>
        <w:rPr>
          <w:rFonts w:ascii="Times New Roman" w:hAnsi="Times New Roman"/>
          <w:i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В соответствии со статьей 19 Федерального закона от 5 апреля 2013 года № 44-ФЗ «О контрактной системе в сфере закупок товаров, работ, услуг для обеспечения гос</w:t>
      </w:r>
      <w:r>
        <w:rPr>
          <w:rFonts w:ascii="Times New Roman" w:hAnsi="Times New Roman"/>
          <w:sz w:val="28"/>
          <w:szCs w:val="28"/>
        </w:rPr>
        <w:t xml:space="preserve">ударств</w:t>
      </w:r>
      <w:r>
        <w:rPr>
          <w:rFonts w:ascii="Times New Roman" w:hAnsi="Times New Roman"/>
          <w:sz w:val="28"/>
          <w:szCs w:val="28"/>
        </w:rPr>
        <w:t xml:space="preserve">енных и муниципальных нужд», Постановлением Правительства РФ от 2 сентября 2015 г. N 926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</w:t>
      </w:r>
      <w:r>
        <w:rPr>
          <w:rFonts w:ascii="Times New Roman" w:hAnsi="Times New Roman"/>
          <w:sz w:val="28"/>
          <w:szCs w:val="28"/>
        </w:rPr>
        <w:t xml:space="preserve">оводствуясь</w:t>
      </w:r>
      <w:r>
        <w:rPr>
          <w:rFonts w:ascii="Times New Roman" w:hAnsi="Times New Roman"/>
          <w:sz w:val="28"/>
          <w:szCs w:val="28"/>
        </w:rPr>
        <w:t xml:space="preserve"> Устав</w:t>
      </w:r>
      <w:r>
        <w:rPr>
          <w:rFonts w:ascii="Times New Roman" w:hAnsi="Times New Roman"/>
          <w:sz w:val="28"/>
          <w:szCs w:val="28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Богучанск</w:t>
      </w:r>
      <w:r>
        <w:rPr>
          <w:rFonts w:ascii="Times New Roman" w:hAnsi="Times New Roman"/>
          <w:sz w:val="28"/>
          <w:szCs w:val="28"/>
        </w:rPr>
        <w:t xml:space="preserve">ого</w:t>
      </w:r>
      <w:r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 xml:space="preserve">а</w:t>
      </w:r>
      <w:r>
        <w:rPr>
          <w:rFonts w:ascii="Times New Roman" w:hAnsi="Times New Roman"/>
          <w:sz w:val="28"/>
          <w:szCs w:val="28"/>
        </w:rPr>
        <w:t xml:space="preserve"> Богучанского района Красноярского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ПОСТАНОВ</w:t>
      </w:r>
      <w:r>
        <w:rPr>
          <w:rFonts w:ascii="Times New Roman" w:hAnsi="Times New Roman"/>
          <w:iCs/>
          <w:sz w:val="28"/>
          <w:szCs w:val="28"/>
        </w:rPr>
        <w:t xml:space="preserve">ЛЯЮ</w:t>
      </w:r>
      <w:r>
        <w:rPr>
          <w:rFonts w:ascii="Times New Roman" w:hAnsi="Times New Roman"/>
          <w:iCs/>
          <w:sz w:val="28"/>
          <w:szCs w:val="28"/>
        </w:rPr>
        <w:t xml:space="preserve">:</w:t>
      </w:r>
      <w:r>
        <w:rPr>
          <w:rFonts w:ascii="Times New Roman" w:hAnsi="Times New Roman"/>
          <w:iCs/>
          <w:sz w:val="28"/>
          <w:szCs w:val="28"/>
        </w:rPr>
      </w:r>
      <w:r>
        <w:rPr>
          <w:rFonts w:ascii="Times New Roman" w:hAnsi="Times New Roman"/>
          <w:iCs/>
          <w:sz w:val="28"/>
          <w:szCs w:val="28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  <w:highlight w:val="none"/>
        </w:rPr>
      </w:pPr>
      <w:r>
        <w:rPr>
          <w:rFonts w:ascii="Times New Roman" w:hAnsi="Times New Roman"/>
          <w:sz w:val="28"/>
          <w:szCs w:val="28"/>
        </w:rPr>
        <w:t xml:space="preserve">1. </w:t>
      </w:r>
      <w:r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 xml:space="preserve">Правила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</w:t>
      </w:r>
      <w:r>
        <w:rPr>
          <w:rFonts w:ascii="Times New Roman" w:hAnsi="Times New Roman"/>
          <w:sz w:val="28"/>
          <w:szCs w:val="28"/>
        </w:rPr>
        <w:t xml:space="preserve">но приложению 1 к настоящему Постановлению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2. </w:t>
      </w:r>
      <w:r>
        <w:rPr>
          <w:rFonts w:ascii="Times New Roman" w:hAnsi="Times New Roman"/>
          <w:bCs/>
          <w:color w:val="000000"/>
          <w:sz w:val="28"/>
          <w:szCs w:val="28"/>
          <w:highlight w:val="none"/>
        </w:rPr>
        <w:t xml:space="preserve">Р</w:t>
      </w:r>
      <w:r>
        <w:rPr>
          <w:rFonts w:ascii="Times New Roman" w:hAnsi="Times New Roman"/>
          <w:sz w:val="28"/>
          <w:szCs w:val="28"/>
        </w:rPr>
        <w:t xml:space="preserve">азместить </w:t>
      </w:r>
      <w:r>
        <w:rPr>
          <w:rFonts w:ascii="Times New Roman" w:hAnsi="Times New Roman"/>
          <w:sz w:val="28"/>
          <w:szCs w:val="28"/>
        </w:rPr>
        <w:t xml:space="preserve">Правила о</w:t>
      </w:r>
      <w:r>
        <w:rPr>
          <w:rFonts w:ascii="Times New Roman" w:hAnsi="Times New Roman"/>
          <w:sz w:val="28"/>
          <w:szCs w:val="28"/>
        </w:rPr>
        <w:t xml:space="preserve">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том числе предельных цен товаров, работ, услуг)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единой информационной системе в сфере закупок.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</w:t>
      </w:r>
      <w:r>
        <w:rPr>
          <w:rFonts w:ascii="Times New Roman" w:hAnsi="Times New Roman"/>
          <w:sz w:val="28"/>
          <w:szCs w:val="28"/>
        </w:rPr>
        <w:t xml:space="preserve">Контроль</w:t>
      </w:r>
      <w:r>
        <w:rPr>
          <w:rFonts w:ascii="Times New Roman" w:hAnsi="Times New Roman"/>
          <w:sz w:val="28"/>
          <w:szCs w:val="28"/>
        </w:rPr>
        <w:t xml:space="preserve"> за исполнение</w:t>
      </w:r>
      <w:r>
        <w:rPr>
          <w:rFonts w:ascii="Times New Roman" w:hAnsi="Times New Roman"/>
          <w:sz w:val="28"/>
          <w:szCs w:val="28"/>
        </w:rPr>
        <w:t xml:space="preserve">м</w:t>
      </w:r>
      <w:r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 xml:space="preserve">Постановления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остав</w:t>
      </w:r>
      <w:r>
        <w:rPr>
          <w:rFonts w:ascii="Times New Roman" w:hAnsi="Times New Roman"/>
          <w:sz w:val="28"/>
          <w:szCs w:val="28"/>
        </w:rPr>
        <w:t xml:space="preserve">ляю</w:t>
      </w:r>
      <w:r>
        <w:rPr>
          <w:rFonts w:ascii="Times New Roman" w:hAnsi="Times New Roman"/>
          <w:sz w:val="28"/>
          <w:szCs w:val="28"/>
        </w:rPr>
        <w:t xml:space="preserve"> за собой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3. </w:t>
      </w:r>
      <w:r>
        <w:rPr>
          <w:rFonts w:ascii="Times New Roman" w:hAnsi="Times New Roman"/>
          <w:sz w:val="28"/>
          <w:szCs w:val="28"/>
          <w:highlight w:val="white"/>
        </w:rPr>
        <w:t xml:space="preserve">Постановление вступает </w:t>
      </w:r>
      <w:r>
        <w:rPr>
          <w:rFonts w:ascii="Times New Roman" w:hAnsi="Times New Roman"/>
          <w:sz w:val="28"/>
          <w:szCs w:val="28"/>
          <w:highlight w:val="white"/>
        </w:rPr>
        <w:t xml:space="preserve">в силу </w:t>
      </w:r>
      <w:r>
        <w:rPr>
          <w:rFonts w:ascii="Times New Roman" w:hAnsi="Times New Roman"/>
          <w:sz w:val="28"/>
          <w:szCs w:val="28"/>
          <w:highlight w:val="white"/>
        </w:rPr>
        <w:t xml:space="preserve">со дня подписания и подлежит </w:t>
      </w:r>
      <w:r>
        <w:rPr>
          <w:rFonts w:ascii="Times New Roman" w:hAnsi="Times New Roman"/>
          <w:sz w:val="28"/>
          <w:szCs w:val="28"/>
          <w:highlight w:val="white"/>
        </w:rPr>
        <w:t xml:space="preserve">опубликовани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ю</w:t>
      </w:r>
      <w:r>
        <w:rPr>
          <w:rFonts w:ascii="Times New Roman" w:hAnsi="Times New Roman"/>
          <w:sz w:val="28"/>
          <w:szCs w:val="28"/>
          <w:highlight w:val="white"/>
        </w:rPr>
        <w:t xml:space="preserve"> в печатном </w:t>
      </w:r>
      <w:r>
        <w:rPr>
          <w:rFonts w:ascii="Times New Roman" w:hAnsi="Times New Roman"/>
          <w:sz w:val="28"/>
          <w:szCs w:val="28"/>
          <w:highlight w:val="white"/>
        </w:rPr>
        <w:t xml:space="preserve">издании «Богучанские ведомости»</w:t>
      </w:r>
      <w:r>
        <w:rPr>
          <w:rFonts w:ascii="Times New Roman" w:hAnsi="Times New Roman"/>
          <w:sz w:val="28"/>
          <w:szCs w:val="28"/>
          <w:highlight w:val="white"/>
        </w:rPr>
        <w:t xml:space="preserve">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36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>
        <w:rPr>
          <w:rFonts w:ascii="Times New Roman" w:hAnsi="Times New Roman"/>
          <w:sz w:val="28"/>
          <w:szCs w:val="28"/>
        </w:rPr>
        <w:t xml:space="preserve">сельсовета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В.П. Каликайтис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  <w:highlight w:val="none"/>
        </w:rPr>
        <w:outlineLvl w:val="0"/>
      </w:pPr>
      <w:r>
        <w:rPr>
          <w:rFonts w:ascii="Times New Roman" w:hAnsi="Times New Roman"/>
          <w:iCs/>
        </w:rPr>
        <w:t xml:space="preserve">Приложение </w:t>
      </w:r>
      <w:r>
        <w:rPr>
          <w:rFonts w:ascii="Times New Roman" w:hAnsi="Times New Roman"/>
          <w:iCs/>
          <w:highlight w:val="none"/>
        </w:rPr>
      </w:r>
      <w:r>
        <w:rPr>
          <w:rFonts w:ascii="Times New Roman" w:hAnsi="Times New Roman"/>
          <w:iCs/>
          <w:highlight w:val="none"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к </w:t>
      </w:r>
      <w:r>
        <w:rPr>
          <w:rFonts w:ascii="Times New Roman" w:hAnsi="Times New Roman"/>
          <w:iCs/>
        </w:rPr>
        <w:t xml:space="preserve">Постановлению администрации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Б</w:t>
      </w:r>
      <w:r>
        <w:rPr>
          <w:rFonts w:ascii="Times New Roman" w:hAnsi="Times New Roman"/>
          <w:iCs/>
        </w:rPr>
        <w:t xml:space="preserve">огучанского сельсовета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right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 xml:space="preserve">от «___</w:t>
      </w:r>
      <w:r>
        <w:rPr>
          <w:rFonts w:ascii="Times New Roman" w:hAnsi="Times New Roman"/>
          <w:iCs/>
        </w:rPr>
        <w:t xml:space="preserve">»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_________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20</w:t>
      </w:r>
      <w:r>
        <w:rPr>
          <w:rFonts w:ascii="Times New Roman" w:hAnsi="Times New Roman"/>
          <w:iCs/>
        </w:rPr>
        <w:t xml:space="preserve">25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№</w:t>
      </w:r>
      <w:r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 xml:space="preserve">______</w:t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center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jc w:val="center"/>
        <w:spacing w:after="0" w:line="240" w:lineRule="auto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  <w:r>
        <w:rPr>
          <w:rFonts w:ascii="Times New Roman" w:hAnsi="Times New Roman"/>
          <w:iCs/>
        </w:rPr>
      </w:r>
    </w:p>
    <w:p>
      <w:pPr>
        <w:ind w:left="0" w:right="0" w:firstLine="709"/>
        <w:jc w:val="center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Правила определения требований к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 </w:t>
      </w:r>
      <w:r>
        <w:rPr>
          <w:rFonts w:ascii="Times New Roman" w:hAnsi="Times New Roman"/>
          <w:sz w:val="28"/>
          <w:szCs w:val="28"/>
        </w:rPr>
        <w:t xml:space="preserve">(</w:t>
      </w:r>
      <w:r>
        <w:rPr>
          <w:rFonts w:ascii="Times New Roman" w:hAnsi="Times New Roman"/>
          <w:sz w:val="28"/>
          <w:szCs w:val="28"/>
        </w:rPr>
        <w:t xml:space="preserve">в том числе предельных цен товаров, работ, услуг)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bCs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1. Настоящие </w:t>
      </w:r>
      <w:r>
        <w:rPr>
          <w:rFonts w:ascii="Times New Roman" w:hAnsi="Times New Roman"/>
          <w:sz w:val="28"/>
          <w:szCs w:val="28"/>
        </w:rPr>
        <w:t xml:space="preserve">Правила </w:t>
      </w:r>
      <w:r>
        <w:rPr>
          <w:rFonts w:ascii="Times New Roman" w:hAnsi="Times New Roman"/>
          <w:sz w:val="28"/>
          <w:szCs w:val="28"/>
        </w:rPr>
        <w:t xml:space="preserve">устанавливают порядок определения требований к отдельным видам товаров, работ, услуг (в том числе предельных цен товаров, работ, услуг), закупаемым </w:t>
      </w:r>
      <w:r>
        <w:rPr>
          <w:rFonts w:ascii="Times New Roman" w:hAnsi="Times New Roman"/>
          <w:sz w:val="28"/>
          <w:szCs w:val="28"/>
        </w:rPr>
        <w:t xml:space="preserve">администрацией Богучанского сельсовета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подведомственными ей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.</w:t>
      </w:r>
      <w:r>
        <w:rPr>
          <w:rFonts w:ascii="Times New Roman" w:hAnsi="Times New Roman"/>
          <w:bCs/>
          <w:sz w:val="24"/>
          <w:szCs w:val="24"/>
          <w14:ligatures w14:val="none"/>
        </w:rPr>
      </w:r>
      <w:r>
        <w:rPr>
          <w:rFonts w:ascii="Times New Roman" w:hAnsi="Times New Roman"/>
          <w:bCs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Под видом товаров, работ, услуг в целях настоящих Правил понимаются виды товаров, работ, услуг, соответствующие 6-значному коду позиции по Общероссийскому классификатору продукции по видам экономической деятельности (далее – ОКПД 2).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2.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Муниципальные органы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утверждают определенные в соответствии с настоящими Правилами требования </w:t>
      </w:r>
      <w:r>
        <w:rPr>
          <w:rFonts w:ascii="Times New Roman" w:hAnsi="Times New Roman"/>
          <w:sz w:val="28"/>
          <w:szCs w:val="28"/>
        </w:rPr>
        <w:t xml:space="preserve">к закупаемым ими, их подведомственными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ведомственный перечень).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Ведомственный перечень составляется по форме согласно приложению 1 к настоящим Правилам на основании обязательного перечня отдельных видов то</w:t>
      </w:r>
      <w:r>
        <w:rPr>
          <w:rFonts w:ascii="Times New Roman" w:hAnsi="Times New Roman"/>
          <w:sz w:val="28"/>
          <w:szCs w:val="28"/>
        </w:rPr>
        <w:t xml:space="preserve">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2 к настоящим правилам (далее </w:t>
      </w:r>
      <w:r>
        <w:rPr>
          <w:rFonts w:ascii="Times New Roman" w:hAnsi="Times New Roman"/>
          <w:sz w:val="28"/>
          <w:szCs w:val="28"/>
        </w:rPr>
        <w:t xml:space="preserve">–</w:t>
      </w:r>
      <w:r>
        <w:rPr>
          <w:rFonts w:ascii="Times New Roman" w:hAnsi="Times New Roman"/>
          <w:sz w:val="28"/>
          <w:szCs w:val="28"/>
        </w:rPr>
        <w:t xml:space="preserve"> обязательный перечень).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</w:t>
      </w:r>
      <w:r>
        <w:rPr>
          <w:rFonts w:ascii="Times New Roman" w:hAnsi="Times New Roman"/>
          <w:sz w:val="28"/>
          <w:szCs w:val="28"/>
        </w:rPr>
        <w:t xml:space="preserve">ных товаров, работ, услуг), если указанные свойства и характеристики не определены в обязательном перечне.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t xml:space="preserve">Муниципальные органы</w:t>
      </w:r>
      <w:r>
        <w:rPr>
          <w:rFonts w:ascii="Times New Roman" w:hAnsi="Times New Roman"/>
          <w:sz w:val="28"/>
          <w:szCs w:val="28"/>
        </w:rPr>
        <w:t xml:space="preserve"> в ведомственном переч</w:t>
      </w:r>
      <w:r>
        <w:rPr>
          <w:rFonts w:ascii="Times New Roman" w:hAnsi="Times New Roman"/>
          <w:sz w:val="28"/>
          <w:szCs w:val="28"/>
        </w:rPr>
        <w:t xml:space="preserve">не определяет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 если в обязательном перечне не определены значения таких характеристик (с</w:t>
      </w:r>
      <w:r>
        <w:rPr>
          <w:rFonts w:ascii="Times New Roman" w:hAnsi="Times New Roman"/>
          <w:sz w:val="28"/>
          <w:szCs w:val="28"/>
        </w:rPr>
        <w:t xml:space="preserve">войств) (в том числе предельные цены товаров, работ, услуг).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>
        <w:rPr>
          <w:rFonts w:ascii="Times New Roman" w:hAnsi="Times New Roman"/>
          <w:sz w:val="28"/>
          <w:szCs w:val="28"/>
        </w:rPr>
        <w:t xml:space="preserve">Отдельные виды товаров, работ, услуг, не вк</w:t>
      </w:r>
      <w:r>
        <w:rPr>
          <w:rFonts w:ascii="Times New Roman" w:hAnsi="Times New Roman"/>
          <w:sz w:val="28"/>
          <w:szCs w:val="28"/>
        </w:rPr>
        <w:t xml:space="preserve">люченные в обязательный перечень, подлежат включению в ведомственный перечень при условии, если средняя арифметическая сумма значений следующих критериев превышает 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0 процентов: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а) доля оплаты по отдельному виду товаров, работ, услуг (в соответствии с графиками платежей) по контрактам, информация о которых включена в реестр контракт</w:t>
      </w:r>
      <w:r>
        <w:rPr>
          <w:rFonts w:ascii="Times New Roman" w:hAnsi="Times New Roman"/>
          <w:sz w:val="28"/>
          <w:szCs w:val="28"/>
        </w:rPr>
        <w:t xml:space="preserve">ов, заключенных заказчиками, и реестр контрактов, содержащих сведения, составляющие государственную тайну, </w:t>
      </w:r>
      <w:r>
        <w:rPr>
          <w:rFonts w:ascii="Times New Roman" w:hAnsi="Times New Roman"/>
          <w:sz w:val="28"/>
          <w:szCs w:val="28"/>
        </w:rPr>
        <w:t xml:space="preserve">муниципальным органом и подведомственными указанному органу к</w:t>
      </w:r>
      <w:r>
        <w:rPr>
          <w:rFonts w:ascii="Times New Roman" w:hAnsi="Times New Roman"/>
          <w:sz w:val="28"/>
          <w:szCs w:val="28"/>
        </w:rPr>
        <w:t xml:space="preserve"> казенными учреждени</w:t>
      </w:r>
      <w:r>
        <w:rPr>
          <w:rFonts w:ascii="Times New Roman" w:hAnsi="Times New Roman"/>
          <w:sz w:val="28"/>
          <w:szCs w:val="28"/>
        </w:rPr>
        <w:t xml:space="preserve">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в общем объеме оплаты по контрактам, включенным в указанные реестры (по графикам платежей), заключе</w:t>
      </w:r>
      <w:r>
        <w:rPr>
          <w:rFonts w:ascii="Times New Roman" w:hAnsi="Times New Roman"/>
          <w:sz w:val="28"/>
          <w:szCs w:val="28"/>
        </w:rPr>
        <w:t xml:space="preserve">нным </w:t>
      </w:r>
      <w:r>
        <w:rPr>
          <w:rFonts w:ascii="Times New Roman" w:hAnsi="Times New Roman"/>
          <w:sz w:val="28"/>
          <w:szCs w:val="28"/>
        </w:rPr>
        <w:t xml:space="preserve">муниципальным органом и подведомственными указанному органу казенными учреждениями и бюджетными учреждениями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б) доля контрактов муниципального органа и подведомственных указанному органу </w:t>
      </w:r>
      <w:r>
        <w:rPr>
          <w:rFonts w:ascii="Times New Roman" w:hAnsi="Times New Roman"/>
          <w:sz w:val="28"/>
          <w:szCs w:val="28"/>
        </w:rPr>
        <w:t xml:space="preserve">казенных учреждений, бюджетных учреждений и унитарных предприятий</w:t>
      </w:r>
      <w:r>
        <w:rPr>
          <w:rFonts w:ascii="Times New Roman" w:hAnsi="Times New Roman"/>
          <w:sz w:val="28"/>
          <w:szCs w:val="28"/>
        </w:rPr>
        <w:t xml:space="preserve"> на приобретение отдельных видов товаров, работ, услуг, заключенных в отчетном финансовом году, в общем количестве контрактов этого муниципального органа и подведомственных указа</w:t>
      </w:r>
      <w:r>
        <w:rPr>
          <w:rFonts w:ascii="Times New Roman" w:hAnsi="Times New Roman"/>
          <w:sz w:val="28"/>
          <w:szCs w:val="28"/>
        </w:rPr>
        <w:t xml:space="preserve">нному органу </w:t>
      </w:r>
      <w:r>
        <w:rPr>
          <w:rFonts w:ascii="Times New Roman" w:hAnsi="Times New Roman"/>
          <w:sz w:val="28"/>
          <w:szCs w:val="28"/>
        </w:rPr>
        <w:t xml:space="preserve">казенных учреждений, бюджетных учреждений и унитарных предприят</w:t>
      </w:r>
      <w:r>
        <w:rPr>
          <w:rFonts w:ascii="Times New Roman" w:hAnsi="Times New Roman"/>
          <w:sz w:val="28"/>
          <w:szCs w:val="28"/>
        </w:rPr>
        <w:t xml:space="preserve">ий</w:t>
      </w:r>
      <w:r>
        <w:rPr>
          <w:rFonts w:ascii="Times New Roman" w:hAnsi="Times New Roman"/>
          <w:sz w:val="28"/>
          <w:szCs w:val="28"/>
        </w:rPr>
        <w:t xml:space="preserve"> на приобретение товаров, работ, услуг, заключенных в отчетном финансовом году.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Муниципальные органы</w:t>
      </w:r>
      <w:r>
        <w:rPr>
          <w:rFonts w:ascii="Times New Roman" w:hAnsi="Times New Roman"/>
          <w:sz w:val="28"/>
          <w:szCs w:val="28"/>
        </w:rPr>
        <w:t xml:space="preserve"> при включении в ведомственный перечень отдельны</w:t>
      </w:r>
      <w:r>
        <w:rPr>
          <w:rFonts w:ascii="Times New Roman" w:hAnsi="Times New Roman"/>
          <w:sz w:val="28"/>
          <w:szCs w:val="28"/>
        </w:rPr>
        <w:t xml:space="preserve">х видов товаров, работ, услуг, не указанных в обязательном перечне, применяет установленные пунктом 3 настоящих Правил критерии исходя из определения их значений в процентном отношении к объему осуществляемых муниципальными органами и подведомственными им </w:t>
      </w:r>
      <w:r>
        <w:rPr>
          <w:rFonts w:ascii="Times New Roman" w:hAnsi="Times New Roman"/>
          <w:sz w:val="28"/>
          <w:szCs w:val="28"/>
        </w:rPr>
        <w:t xml:space="preserve">казенными учреждениями, бюджетными учреждениями и унитарными предприятиями</w:t>
      </w:r>
      <w:r>
        <w:rPr>
          <w:rFonts w:ascii="Times New Roman" w:hAnsi="Times New Roman"/>
          <w:sz w:val="28"/>
          <w:szCs w:val="28"/>
        </w:rPr>
        <w:t xml:space="preserve"> закупок.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5. В целях формиров</w:t>
      </w:r>
      <w:r>
        <w:rPr>
          <w:rFonts w:ascii="Times New Roman" w:hAnsi="Times New Roman"/>
          <w:sz w:val="28"/>
          <w:szCs w:val="28"/>
        </w:rPr>
        <w:t xml:space="preserve">ания ведомственного перечня муниципальные органы вправе определять дополнительные критерии отбора отдельных видов товаров, работ, услуг и порядок их применения, не приводящие к сокра</w:t>
      </w:r>
      <w:r>
        <w:rPr>
          <w:rFonts w:ascii="Times New Roman" w:hAnsi="Times New Roman"/>
          <w:sz w:val="28"/>
          <w:szCs w:val="28"/>
        </w:rPr>
        <w:t xml:space="preserve">щению значения критериев, установленных пунктом 3 настоящих Правил.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6. Муниципальные органы при формировании ведомственного перечня вправе включить в него дополнительно: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а)</w:t>
        <w:tab/>
        <w:t xml:space="preserve"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б)</w:t>
        <w:tab/>
        <w:t xml:space="preserve">характери</w:t>
      </w:r>
      <w:r>
        <w:rPr>
          <w:rFonts w:ascii="Times New Roman" w:hAnsi="Times New Roman"/>
          <w:sz w:val="28"/>
          <w:szCs w:val="28"/>
        </w:rPr>
        <w:t xml:space="preserve">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в)</w:t>
        <w:tab/>
        <w:t xml:space="preserve">значения количественных и (или) качественных показателей характеристик (свойств) товаров, работ, у</w:t>
      </w:r>
      <w:r>
        <w:rPr>
          <w:rFonts w:ascii="Times New Roman" w:hAnsi="Times New Roman"/>
          <w:sz w:val="28"/>
          <w:szCs w:val="28"/>
        </w:rPr>
        <w:t xml:space="preserve">слуг, которые отличаются от значений, предусмотренных обязательным перечнем, и обоснование которых содержится в соответствующей графе приложения 1 к настоящим Правилам, в том числе с учетом функционального назначения товара, под которым для целей настоящих</w:t>
      </w:r>
      <w:r>
        <w:rPr>
          <w:rFonts w:ascii="Times New Roman" w:hAnsi="Times New Roman"/>
          <w:sz w:val="28"/>
          <w:szCs w:val="28"/>
        </w:rPr>
        <w:t xml:space="preserve">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</w:t>
      </w:r>
      <w:r>
        <w:rPr>
          <w:rFonts w:ascii="Times New Roman" w:hAnsi="Times New Roman"/>
          <w:sz w:val="28"/>
          <w:szCs w:val="28"/>
        </w:rPr>
        <w:t xml:space="preserve">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7. Значения потребительских свойств и иных х</w:t>
      </w:r>
      <w:r>
        <w:rPr>
          <w:rFonts w:ascii="Times New Roman" w:hAnsi="Times New Roman"/>
          <w:sz w:val="28"/>
          <w:szCs w:val="28"/>
        </w:rPr>
        <w:t xml:space="preserve">арактеристик (в  том числе предельные цены) отдельных видов товаров, работ, услуг, включенных в ведомственный перечень, устанавливаются с учето</w:t>
      </w:r>
      <w:r>
        <w:rPr>
          <w:rFonts w:ascii="Times New Roman" w:hAnsi="Times New Roman"/>
          <w:sz w:val="28"/>
          <w:szCs w:val="28"/>
        </w:rPr>
        <w:t xml:space="preserve">м категорий и (или) групп должностей работников муниципальных органов и подведомственных им </w:t>
      </w:r>
      <w:r>
        <w:rPr>
          <w:rFonts w:ascii="Times New Roman" w:hAnsi="Times New Roman"/>
          <w:sz w:val="28"/>
          <w:szCs w:val="28"/>
        </w:rPr>
        <w:t xml:space="preserve">казенных учреждений, бюджетных учреждений и унитарных предприятий</w:t>
      </w:r>
      <w:r>
        <w:rPr>
          <w:rFonts w:ascii="Times New Roman" w:hAnsi="Times New Roman"/>
          <w:sz w:val="28"/>
          <w:szCs w:val="28"/>
        </w:rPr>
        <w:t xml:space="preserve">, если затраты на их приобретение в соответствии </w:t>
      </w:r>
      <w:r>
        <w:rPr>
          <w:rFonts w:ascii="Times New Roman" w:hAnsi="Times New Roman"/>
          <w:sz w:val="28"/>
          <w:szCs w:val="28"/>
        </w:rPr>
        <w:t xml:space="preserve">с </w:t>
      </w:r>
      <w:r>
        <w:rPr>
          <w:rFonts w:ascii="Times New Roman" w:hAnsi="Times New Roman"/>
          <w:sz w:val="28"/>
          <w:szCs w:val="28"/>
        </w:rPr>
        <w:t xml:space="preserve">Правилами определения нормативных затрат на обеспечение функций муниципальных органов и </w:t>
      </w:r>
      <w:r>
        <w:rPr>
          <w:rFonts w:ascii="Times New Roman" w:hAnsi="Times New Roman"/>
          <w:sz w:val="28"/>
          <w:szCs w:val="28"/>
        </w:rPr>
        <w:t xml:space="preserve">подведомственных им </w:t>
      </w:r>
      <w:r>
        <w:rPr>
          <w:rFonts w:ascii="Times New Roman" w:hAnsi="Times New Roman"/>
          <w:sz w:val="28"/>
          <w:szCs w:val="28"/>
        </w:rPr>
        <w:t xml:space="preserve">организаций</w:t>
      </w:r>
      <w:r>
        <w:rPr>
          <w:rFonts w:ascii="Times New Roman" w:hAnsi="Times New Roman"/>
          <w:sz w:val="28"/>
          <w:szCs w:val="28"/>
        </w:rPr>
        <w:t xml:space="preserve">, утвержденными постановлением</w:t>
      </w:r>
      <w:r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Богучанского сельсовета</w:t>
      </w:r>
      <w:r>
        <w:rPr>
          <w:rFonts w:ascii="Times New Roman" w:hAnsi="Times New Roman"/>
          <w:sz w:val="28"/>
          <w:szCs w:val="28"/>
        </w:rPr>
        <w:t xml:space="preserve">, определяются с учетом категорий и (или) групп должностей работников.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8. Значения потребительских свойств</w:t>
      </w:r>
      <w:r>
        <w:rPr>
          <w:rFonts w:ascii="Times New Roman" w:hAnsi="Times New Roman"/>
          <w:sz w:val="28"/>
          <w:szCs w:val="28"/>
        </w:rPr>
        <w:t xml:space="preserve"> и иных характеристик (в том числе предельные цены) отдельных видов товаров, работ, услуг, включенных в ведомственный перечень, устанавливаются в количественных и (или) качественных показателях с указанием единицы измерения в соответствии с Общероссийским </w:t>
      </w: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HYPERLINK "consultantplus://offline/ref=32B7A846CBFAA60D480F8A4B41E40D140FCD8CB21C9B24593CB0C0E8BEy730T" </w:instrText>
      </w:r>
      <w:r>
        <w:rPr>
          <w:rFonts w:ascii="Times New Roman" w:hAnsi="Times New Roman"/>
          <w:sz w:val="28"/>
          <w:szCs w:val="28"/>
        </w:rPr>
        <w:fldChar w:fldCharType="separate"/>
      </w:r>
      <w:r>
        <w:rPr>
          <w:rFonts w:ascii="Times New Roman" w:hAnsi="Times New Roman"/>
          <w:sz w:val="28"/>
          <w:szCs w:val="28"/>
        </w:rPr>
        <w:t xml:space="preserve">классификат</w:t>
      </w:r>
      <w:r>
        <w:rPr>
          <w:rFonts w:ascii="Times New Roman" w:hAnsi="Times New Roman"/>
          <w:sz w:val="28"/>
          <w:szCs w:val="28"/>
        </w:rPr>
        <w:t xml:space="preserve">ором</w:t>
      </w:r>
      <w:r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 единиц измерения (далее - ОКЕИ).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9. Утвержденный муниципальными органами ведомственный перечень должен позволять обеспечить муниципальн</w:t>
      </w:r>
      <w:r>
        <w:rPr>
          <w:rFonts w:ascii="Times New Roman" w:hAnsi="Times New Roman"/>
          <w:sz w:val="28"/>
          <w:szCs w:val="28"/>
        </w:rPr>
        <w:t xml:space="preserve">ые нужды, но не приводить к закупкам товаров, работ, услуг, которые имеют избыточные потребительские свойства (фун</w:t>
      </w:r>
      <w:r>
        <w:rPr>
          <w:rFonts w:ascii="Times New Roman" w:hAnsi="Times New Roman"/>
          <w:sz w:val="28"/>
          <w:szCs w:val="28"/>
        </w:rPr>
        <w:t xml:space="preserve">кциональные, эргономические, эстетические, технологические, экологические свойства, свойства надежности и безопасности, значения которых не обусловлены их пригодностью для эксплуатации и потребления в целях оказания муниципальных услуг (выполнения работ) и</w:t>
      </w:r>
      <w:r>
        <w:rPr>
          <w:rFonts w:ascii="Times New Roman" w:hAnsi="Times New Roman"/>
          <w:sz w:val="28"/>
          <w:szCs w:val="28"/>
        </w:rPr>
        <w:t xml:space="preserve"> реализации государственных функций) или являются предметами роскоши в соответствии с законодательством Российской Федерации.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4"/>
          <w:szCs w:val="24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10.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ОКПД 2.</w:t>
      </w:r>
      <w:r>
        <w:rPr>
          <w:rFonts w:ascii="Times New Roman" w:hAnsi="Times New Roman"/>
          <w:sz w:val="24"/>
          <w:szCs w:val="24"/>
          <w14:ligatures w14:val="none"/>
        </w:rPr>
      </w:r>
      <w:r>
        <w:rPr>
          <w:rFonts w:ascii="Times New Roman" w:hAnsi="Times New Roman"/>
          <w:sz w:val="24"/>
          <w:szCs w:val="24"/>
          <w14:ligatures w14:val="none"/>
        </w:rPr>
      </w:r>
    </w:p>
    <w:p>
      <w:pPr>
        <w:ind w:left="0" w:right="0" w:firstLine="709"/>
        <w:jc w:val="both"/>
        <w:spacing w:after="0" w:line="240" w:lineRule="auto"/>
        <w:rPr>
          <w:rFonts w:ascii="Times New Roman" w:hAnsi="Times New Roman"/>
          <w:sz w:val="28"/>
          <w:szCs w:val="28"/>
          <w14:ligatures w14:val="none"/>
        </w:rPr>
      </w:pPr>
      <w:r>
        <w:rPr>
          <w:rFonts w:ascii="Times New Roman" w:hAnsi="Times New Roman"/>
          <w:sz w:val="28"/>
          <w:szCs w:val="28"/>
        </w:rPr>
        <w:t xml:space="preserve">11. Предельные цены товаров, работ, услуг, устанавливаются муниципальными органами в случае, если требованиями к определению нормативных затрат устан</w:t>
      </w:r>
      <w:r>
        <w:rPr>
          <w:rFonts w:ascii="Times New Roman" w:hAnsi="Times New Roman"/>
          <w:sz w:val="28"/>
          <w:szCs w:val="28"/>
        </w:rPr>
        <w:t xml:space="preserve">овлены нормативы цены на соответствующие товары, работы, услуги.</w:t>
      </w:r>
      <w:r>
        <w:rPr>
          <w:rFonts w:ascii="Times New Roman" w:hAnsi="Times New Roman"/>
          <w:sz w:val="28"/>
          <w:szCs w:val="28"/>
          <w14:ligatures w14:val="none"/>
        </w:rPr>
      </w:r>
      <w:r>
        <w:rPr>
          <w:rFonts w:ascii="Times New Roman" w:hAnsi="Times New Roman"/>
          <w:sz w:val="28"/>
          <w:szCs w:val="28"/>
          <w14:ligatures w14:val="none"/>
        </w:rPr>
      </w:r>
    </w:p>
    <w:sectPr>
      <w:footnotePr/>
      <w:endnotePr/>
      <w:type w:val="nextPage"/>
      <w:pgSz w:w="11906" w:h="16838" w:orient="portrait"/>
      <w:pgMar w:top="567" w:right="850" w:bottom="539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Segoe UI">
    <w:panose1 w:val="020B0502040204020203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95" w:hanging="43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4" w:hanging="705"/>
      </w:pPr>
      <w:rPr>
        <w:rFonts w:hint="default"/>
        <w:color w:val="auto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5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7">
    <w:multiLevelType w:val="hybridMultilevel"/>
    <w:lvl w:ilvl="0">
      <w:start w:val="6"/>
      <w:numFmt w:val="decimal"/>
      <w:isLgl w:val="false"/>
      <w:suff w:val="tab"/>
      <w:lvlText w:val="%1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russianLower"/>
      <w:isLgl w:val="false"/>
      <w:suff w:val="tab"/>
      <w:lvlText w:val="%1)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2">
    <w:name w:val="Heading 1"/>
    <w:basedOn w:val="845"/>
    <w:next w:val="845"/>
    <w:link w:val="67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3">
    <w:name w:val="Heading 1 Char"/>
    <w:basedOn w:val="846"/>
    <w:link w:val="672"/>
    <w:uiPriority w:val="9"/>
    <w:rPr>
      <w:rFonts w:ascii="Arial" w:hAnsi="Arial" w:eastAsia="Arial" w:cs="Arial"/>
      <w:sz w:val="40"/>
      <w:szCs w:val="40"/>
    </w:rPr>
  </w:style>
  <w:style w:type="paragraph" w:styleId="674">
    <w:name w:val="Heading 2"/>
    <w:basedOn w:val="845"/>
    <w:next w:val="845"/>
    <w:link w:val="67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5">
    <w:name w:val="Heading 2 Char"/>
    <w:basedOn w:val="846"/>
    <w:link w:val="674"/>
    <w:uiPriority w:val="9"/>
    <w:rPr>
      <w:rFonts w:ascii="Arial" w:hAnsi="Arial" w:eastAsia="Arial" w:cs="Arial"/>
      <w:sz w:val="34"/>
    </w:rPr>
  </w:style>
  <w:style w:type="paragraph" w:styleId="676">
    <w:name w:val="Heading 3"/>
    <w:basedOn w:val="845"/>
    <w:next w:val="845"/>
    <w:link w:val="67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7">
    <w:name w:val="Heading 3 Char"/>
    <w:basedOn w:val="846"/>
    <w:link w:val="676"/>
    <w:uiPriority w:val="9"/>
    <w:rPr>
      <w:rFonts w:ascii="Arial" w:hAnsi="Arial" w:eastAsia="Arial" w:cs="Arial"/>
      <w:sz w:val="30"/>
      <w:szCs w:val="30"/>
    </w:rPr>
  </w:style>
  <w:style w:type="paragraph" w:styleId="678">
    <w:name w:val="Heading 4"/>
    <w:basedOn w:val="845"/>
    <w:next w:val="845"/>
    <w:link w:val="67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79">
    <w:name w:val="Heading 4 Char"/>
    <w:basedOn w:val="846"/>
    <w:link w:val="678"/>
    <w:uiPriority w:val="9"/>
    <w:rPr>
      <w:rFonts w:ascii="Arial" w:hAnsi="Arial" w:eastAsia="Arial" w:cs="Arial"/>
      <w:b/>
      <w:bCs/>
      <w:sz w:val="26"/>
      <w:szCs w:val="26"/>
    </w:rPr>
  </w:style>
  <w:style w:type="paragraph" w:styleId="680">
    <w:name w:val="Heading 5"/>
    <w:basedOn w:val="845"/>
    <w:next w:val="845"/>
    <w:link w:val="68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1">
    <w:name w:val="Heading 5 Char"/>
    <w:basedOn w:val="846"/>
    <w:link w:val="680"/>
    <w:uiPriority w:val="9"/>
    <w:rPr>
      <w:rFonts w:ascii="Arial" w:hAnsi="Arial" w:eastAsia="Arial" w:cs="Arial"/>
      <w:b/>
      <w:bCs/>
      <w:sz w:val="24"/>
      <w:szCs w:val="24"/>
    </w:rPr>
  </w:style>
  <w:style w:type="paragraph" w:styleId="682">
    <w:name w:val="Heading 6"/>
    <w:basedOn w:val="845"/>
    <w:next w:val="845"/>
    <w:link w:val="68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3">
    <w:name w:val="Heading 6 Char"/>
    <w:basedOn w:val="846"/>
    <w:link w:val="682"/>
    <w:uiPriority w:val="9"/>
    <w:rPr>
      <w:rFonts w:ascii="Arial" w:hAnsi="Arial" w:eastAsia="Arial" w:cs="Arial"/>
      <w:b/>
      <w:bCs/>
      <w:sz w:val="22"/>
      <w:szCs w:val="22"/>
    </w:rPr>
  </w:style>
  <w:style w:type="paragraph" w:styleId="684">
    <w:name w:val="Heading 7"/>
    <w:basedOn w:val="845"/>
    <w:next w:val="845"/>
    <w:link w:val="68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5">
    <w:name w:val="Heading 7 Char"/>
    <w:basedOn w:val="846"/>
    <w:link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6">
    <w:name w:val="Heading 8"/>
    <w:basedOn w:val="845"/>
    <w:next w:val="845"/>
    <w:link w:val="68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7">
    <w:name w:val="Heading 8 Char"/>
    <w:basedOn w:val="846"/>
    <w:link w:val="686"/>
    <w:uiPriority w:val="9"/>
    <w:rPr>
      <w:rFonts w:ascii="Arial" w:hAnsi="Arial" w:eastAsia="Arial" w:cs="Arial"/>
      <w:i/>
      <w:iCs/>
      <w:sz w:val="22"/>
      <w:szCs w:val="22"/>
    </w:rPr>
  </w:style>
  <w:style w:type="paragraph" w:styleId="688">
    <w:name w:val="Heading 9"/>
    <w:basedOn w:val="845"/>
    <w:next w:val="845"/>
    <w:link w:val="68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9">
    <w:name w:val="Heading 9 Char"/>
    <w:basedOn w:val="846"/>
    <w:link w:val="688"/>
    <w:uiPriority w:val="9"/>
    <w:rPr>
      <w:rFonts w:ascii="Arial" w:hAnsi="Arial" w:eastAsia="Arial" w:cs="Arial"/>
      <w:i/>
      <w:iCs/>
      <w:sz w:val="21"/>
      <w:szCs w:val="21"/>
    </w:rPr>
  </w:style>
  <w:style w:type="paragraph" w:styleId="690">
    <w:name w:val="No Spacing"/>
    <w:uiPriority w:val="1"/>
    <w:qFormat/>
    <w:pPr>
      <w:spacing w:before="0" w:after="0" w:line="240" w:lineRule="auto"/>
    </w:pPr>
  </w:style>
  <w:style w:type="character" w:styleId="691">
    <w:name w:val="Title Char"/>
    <w:basedOn w:val="846"/>
    <w:link w:val="855"/>
    <w:uiPriority w:val="10"/>
    <w:rPr>
      <w:sz w:val="48"/>
      <w:szCs w:val="48"/>
    </w:rPr>
  </w:style>
  <w:style w:type="paragraph" w:styleId="692">
    <w:name w:val="Subtitle"/>
    <w:basedOn w:val="845"/>
    <w:next w:val="845"/>
    <w:link w:val="693"/>
    <w:uiPriority w:val="11"/>
    <w:qFormat/>
    <w:pPr>
      <w:spacing w:before="200" w:after="200"/>
    </w:pPr>
    <w:rPr>
      <w:sz w:val="24"/>
      <w:szCs w:val="24"/>
    </w:rPr>
  </w:style>
  <w:style w:type="character" w:styleId="693">
    <w:name w:val="Subtitle Char"/>
    <w:basedOn w:val="846"/>
    <w:link w:val="692"/>
    <w:uiPriority w:val="11"/>
    <w:rPr>
      <w:sz w:val="24"/>
      <w:szCs w:val="24"/>
    </w:rPr>
  </w:style>
  <w:style w:type="paragraph" w:styleId="694">
    <w:name w:val="Quote"/>
    <w:basedOn w:val="845"/>
    <w:next w:val="845"/>
    <w:link w:val="695"/>
    <w:uiPriority w:val="29"/>
    <w:qFormat/>
    <w:pPr>
      <w:ind w:left="720" w:right="720"/>
    </w:pPr>
    <w:rPr>
      <w:i/>
    </w:r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5"/>
    <w:next w:val="845"/>
    <w:link w:val="69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6"/>
    <w:link w:val="851"/>
    <w:uiPriority w:val="99"/>
  </w:style>
  <w:style w:type="character" w:styleId="699">
    <w:name w:val="Footer Char"/>
    <w:basedOn w:val="846"/>
    <w:link w:val="853"/>
    <w:uiPriority w:val="99"/>
  </w:style>
  <w:style w:type="paragraph" w:styleId="700">
    <w:name w:val="Caption"/>
    <w:basedOn w:val="845"/>
    <w:next w:val="845"/>
    <w:link w:val="70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1">
    <w:name w:val="Caption Char"/>
    <w:basedOn w:val="846"/>
    <w:link w:val="700"/>
    <w:uiPriority w:val="35"/>
    <w:rPr>
      <w:b/>
      <w:bCs/>
      <w:color w:val="4f81bd" w:themeColor="accent1"/>
      <w:sz w:val="18"/>
      <w:szCs w:val="18"/>
    </w:rPr>
  </w:style>
  <w:style w:type="table" w:styleId="702">
    <w:name w:val="Table Grid"/>
    <w:basedOn w:val="847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3">
    <w:name w:val="Table Grid Light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Plain Table 1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5">
    <w:name w:val="Plain Table 2"/>
    <w:basedOn w:val="8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7">
    <w:name w:val="Plain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8">
    <w:name w:val="Plain Table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09">
    <w:name w:val="Grid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0">
    <w:name w:val="Grid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1">
    <w:name w:val="Grid Table 4 - Accent 1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2">
    <w:name w:val="Grid Table 4 - Accent 2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3">
    <w:name w:val="Grid Table 4 - Accent 3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4">
    <w:name w:val="Grid Table 4 - Accent 4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5">
    <w:name w:val="Grid Table 4 - Accent 5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36">
    <w:name w:val="Grid Table 4 - Accent 6"/>
    <w:basedOn w:val="8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37">
    <w:name w:val="Grid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38">
    <w:name w:val="Grid Table 5 Dark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39">
    <w:name w:val="Grid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0">
    <w:name w:val="Grid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1">
    <w:name w:val="Grid Table 5 Dark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2">
    <w:name w:val="Grid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4">
    <w:name w:val="Grid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5">
    <w:name w:val="Grid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6">
    <w:name w:val="Grid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7">
    <w:name w:val="Grid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8">
    <w:name w:val="Grid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49">
    <w:name w:val="Grid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0">
    <w:name w:val="Grid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List Table 1 Light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List Table 1 Light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List Table 1 Light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List Table 1 Light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66">
    <w:name w:val="List Table 2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67">
    <w:name w:val="List Table 2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68">
    <w:name w:val="List Table 2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69">
    <w:name w:val="List Table 2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0">
    <w:name w:val="List Table 2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1">
    <w:name w:val="List Table 2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2">
    <w:name w:val="List Table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3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5 Dark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7">
    <w:name w:val="List Table 5 Dark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6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4">
    <w:name w:val="List Table 6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5">
    <w:name w:val="List Table 6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96">
    <w:name w:val="List Table 6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97">
    <w:name w:val="List Table 6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98">
    <w:name w:val="List Table 6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99">
    <w:name w:val="List Table 6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0">
    <w:name w:val="List Table 7 Colorful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1">
    <w:name w:val="List Table 7 Colorful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2">
    <w:name w:val="List Table 7 Colorful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3">
    <w:name w:val="List Table 7 Colorful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4">
    <w:name w:val="List Table 7 Colorful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5">
    <w:name w:val="List Table 7 Colorful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6">
    <w:name w:val="List Table 7 Colorful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7">
    <w:name w:val="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8">
    <w:name w:val="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9">
    <w:name w:val="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0">
    <w:name w:val="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1">
    <w:name w:val="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2">
    <w:name w:val="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3">
    <w:name w:val="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4">
    <w:name w:val="Bordered &amp; Lined - Accent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Bordered &amp; Lined - Accent 1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Bordered &amp; Lined - Accent 2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Bordered &amp; Lined - Accent 3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Bordered &amp; Lined - Accent 4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Bordered &amp; Lined - Accent 5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Bordered &amp; Lined - Accent 6"/>
    <w:basedOn w:val="84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2">
    <w:name w:val="Bordered - Accent 1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3">
    <w:name w:val="Bordered - Accent 2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4">
    <w:name w:val="Bordered - Accent 3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5">
    <w:name w:val="Bordered - Accent 4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26">
    <w:name w:val="Bordered - Accent 5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27">
    <w:name w:val="Bordered - Accent 6"/>
    <w:basedOn w:val="8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28">
    <w:name w:val="footnote text"/>
    <w:basedOn w:val="845"/>
    <w:link w:val="829"/>
    <w:uiPriority w:val="99"/>
    <w:semiHidden/>
    <w:unhideWhenUsed/>
    <w:pPr>
      <w:spacing w:after="40" w:line="240" w:lineRule="auto"/>
    </w:pPr>
    <w:rPr>
      <w:sz w:val="18"/>
    </w:rPr>
  </w:style>
  <w:style w:type="character" w:styleId="829">
    <w:name w:val="Footnote Text Char"/>
    <w:link w:val="828"/>
    <w:uiPriority w:val="99"/>
    <w:rPr>
      <w:sz w:val="18"/>
    </w:rPr>
  </w:style>
  <w:style w:type="character" w:styleId="830">
    <w:name w:val="footnote reference"/>
    <w:basedOn w:val="846"/>
    <w:uiPriority w:val="99"/>
    <w:unhideWhenUsed/>
    <w:rPr>
      <w:vertAlign w:val="superscript"/>
    </w:rPr>
  </w:style>
  <w:style w:type="paragraph" w:styleId="831">
    <w:name w:val="endnote text"/>
    <w:basedOn w:val="845"/>
    <w:link w:val="832"/>
    <w:uiPriority w:val="99"/>
    <w:semiHidden/>
    <w:unhideWhenUsed/>
    <w:pPr>
      <w:spacing w:after="0" w:line="240" w:lineRule="auto"/>
    </w:pPr>
    <w:rPr>
      <w:sz w:val="20"/>
    </w:rPr>
  </w:style>
  <w:style w:type="character" w:styleId="832">
    <w:name w:val="Endnote Text Char"/>
    <w:link w:val="831"/>
    <w:uiPriority w:val="99"/>
    <w:rPr>
      <w:sz w:val="20"/>
    </w:rPr>
  </w:style>
  <w:style w:type="character" w:styleId="833">
    <w:name w:val="endnote reference"/>
    <w:basedOn w:val="846"/>
    <w:uiPriority w:val="99"/>
    <w:semiHidden/>
    <w:unhideWhenUsed/>
    <w:rPr>
      <w:vertAlign w:val="superscript"/>
    </w:rPr>
  </w:style>
  <w:style w:type="paragraph" w:styleId="834">
    <w:name w:val="toc 1"/>
    <w:basedOn w:val="845"/>
    <w:next w:val="845"/>
    <w:uiPriority w:val="39"/>
    <w:unhideWhenUsed/>
    <w:pPr>
      <w:ind w:left="0" w:right="0" w:firstLine="0"/>
      <w:spacing w:after="57"/>
    </w:pPr>
  </w:style>
  <w:style w:type="paragraph" w:styleId="835">
    <w:name w:val="toc 2"/>
    <w:basedOn w:val="845"/>
    <w:next w:val="845"/>
    <w:uiPriority w:val="39"/>
    <w:unhideWhenUsed/>
    <w:pPr>
      <w:ind w:left="283" w:right="0" w:firstLine="0"/>
      <w:spacing w:after="57"/>
    </w:pPr>
  </w:style>
  <w:style w:type="paragraph" w:styleId="836">
    <w:name w:val="toc 3"/>
    <w:basedOn w:val="845"/>
    <w:next w:val="845"/>
    <w:uiPriority w:val="39"/>
    <w:unhideWhenUsed/>
    <w:pPr>
      <w:ind w:left="567" w:right="0" w:firstLine="0"/>
      <w:spacing w:after="57"/>
    </w:pPr>
  </w:style>
  <w:style w:type="paragraph" w:styleId="837">
    <w:name w:val="toc 4"/>
    <w:basedOn w:val="845"/>
    <w:next w:val="845"/>
    <w:uiPriority w:val="39"/>
    <w:unhideWhenUsed/>
    <w:pPr>
      <w:ind w:left="850" w:right="0" w:firstLine="0"/>
      <w:spacing w:after="57"/>
    </w:pPr>
  </w:style>
  <w:style w:type="paragraph" w:styleId="838">
    <w:name w:val="toc 5"/>
    <w:basedOn w:val="845"/>
    <w:next w:val="845"/>
    <w:uiPriority w:val="39"/>
    <w:unhideWhenUsed/>
    <w:pPr>
      <w:ind w:left="1134" w:right="0" w:firstLine="0"/>
      <w:spacing w:after="57"/>
    </w:pPr>
  </w:style>
  <w:style w:type="paragraph" w:styleId="839">
    <w:name w:val="toc 6"/>
    <w:basedOn w:val="845"/>
    <w:next w:val="845"/>
    <w:uiPriority w:val="39"/>
    <w:unhideWhenUsed/>
    <w:pPr>
      <w:ind w:left="1417" w:right="0" w:firstLine="0"/>
      <w:spacing w:after="57"/>
    </w:pPr>
  </w:style>
  <w:style w:type="paragraph" w:styleId="840">
    <w:name w:val="toc 7"/>
    <w:basedOn w:val="845"/>
    <w:next w:val="845"/>
    <w:uiPriority w:val="39"/>
    <w:unhideWhenUsed/>
    <w:pPr>
      <w:ind w:left="1701" w:right="0" w:firstLine="0"/>
      <w:spacing w:after="57"/>
    </w:pPr>
  </w:style>
  <w:style w:type="paragraph" w:styleId="841">
    <w:name w:val="toc 8"/>
    <w:basedOn w:val="845"/>
    <w:next w:val="845"/>
    <w:uiPriority w:val="39"/>
    <w:unhideWhenUsed/>
    <w:pPr>
      <w:ind w:left="1984" w:right="0" w:firstLine="0"/>
      <w:spacing w:after="57"/>
    </w:pPr>
  </w:style>
  <w:style w:type="paragraph" w:styleId="842">
    <w:name w:val="toc 9"/>
    <w:basedOn w:val="845"/>
    <w:next w:val="845"/>
    <w:uiPriority w:val="39"/>
    <w:unhideWhenUsed/>
    <w:pPr>
      <w:ind w:left="2268" w:right="0" w:firstLine="0"/>
      <w:spacing w:after="57"/>
    </w:pPr>
  </w:style>
  <w:style w:type="paragraph" w:styleId="843">
    <w:name w:val="TOC Heading"/>
    <w:uiPriority w:val="39"/>
    <w:unhideWhenUsed/>
  </w:style>
  <w:style w:type="paragraph" w:styleId="844">
    <w:name w:val="table of figures"/>
    <w:basedOn w:val="845"/>
    <w:next w:val="845"/>
    <w:uiPriority w:val="99"/>
    <w:unhideWhenUsed/>
    <w:pPr>
      <w:spacing w:after="0" w:afterAutospacing="0"/>
    </w:pPr>
  </w:style>
  <w:style w:type="paragraph" w:styleId="845" w:default="1">
    <w:name w:val="Normal"/>
    <w:qFormat/>
    <w:rPr>
      <w:rFonts w:ascii="Calibri" w:hAnsi="Calibri" w:eastAsia="Times New Roman" w:cs="Times New Roman"/>
      <w:lang w:eastAsia="ru-RU"/>
    </w:rPr>
  </w:style>
  <w:style w:type="character" w:styleId="846" w:default="1">
    <w:name w:val="Default Paragraph Font"/>
    <w:uiPriority w:val="1"/>
    <w:semiHidden/>
    <w:unhideWhenUsed/>
  </w:style>
  <w:style w:type="table" w:styleId="8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48" w:default="1">
    <w:name w:val="No List"/>
    <w:uiPriority w:val="99"/>
    <w:semiHidden/>
    <w:unhideWhenUsed/>
  </w:style>
  <w:style w:type="paragraph" w:styleId="849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character" w:styleId="850">
    <w:name w:val="Hyperlink"/>
    <w:basedOn w:val="846"/>
    <w:uiPriority w:val="99"/>
    <w:unhideWhenUsed/>
    <w:rPr>
      <w:color w:val="0000ff"/>
      <w:u w:val="single"/>
    </w:rPr>
  </w:style>
  <w:style w:type="paragraph" w:styleId="851">
    <w:name w:val="Header"/>
    <w:basedOn w:val="845"/>
    <w:link w:val="85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2" w:customStyle="1">
    <w:name w:val="Верхний колонтитул Знак"/>
    <w:basedOn w:val="846"/>
    <w:link w:val="851"/>
    <w:uiPriority w:val="99"/>
    <w:rPr>
      <w:rFonts w:ascii="Calibri" w:hAnsi="Calibri" w:eastAsia="Times New Roman" w:cs="Times New Roman"/>
      <w:lang w:eastAsia="ru-RU"/>
    </w:rPr>
  </w:style>
  <w:style w:type="paragraph" w:styleId="853">
    <w:name w:val="Footer"/>
    <w:basedOn w:val="845"/>
    <w:link w:val="854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854" w:customStyle="1">
    <w:name w:val="Нижний колонтитул Знак"/>
    <w:basedOn w:val="846"/>
    <w:link w:val="853"/>
    <w:rPr>
      <w:rFonts w:ascii="Calibri" w:hAnsi="Calibri" w:eastAsia="Times New Roman" w:cs="Times New Roman"/>
      <w:lang w:eastAsia="ru-RU"/>
    </w:rPr>
  </w:style>
  <w:style w:type="paragraph" w:styleId="855">
    <w:name w:val="Title"/>
    <w:basedOn w:val="845"/>
    <w:link w:val="856"/>
    <w:qFormat/>
    <w:pPr>
      <w:jc w:val="center"/>
      <w:spacing w:after="0" w:line="240" w:lineRule="auto"/>
    </w:pPr>
    <w:rPr>
      <w:rFonts w:ascii="Times New Roman" w:hAnsi="Times New Roman"/>
      <w:sz w:val="28"/>
      <w:szCs w:val="20"/>
    </w:rPr>
  </w:style>
  <w:style w:type="character" w:styleId="856" w:customStyle="1">
    <w:name w:val="Название Знак"/>
    <w:basedOn w:val="846"/>
    <w:link w:val="855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857">
    <w:name w:val="Balloon Text"/>
    <w:basedOn w:val="845"/>
    <w:link w:val="85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58" w:customStyle="1">
    <w:name w:val="Текст выноски Знак"/>
    <w:basedOn w:val="846"/>
    <w:link w:val="857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59">
    <w:name w:val="List Paragraph"/>
    <w:basedOn w:val="845"/>
    <w:uiPriority w:val="34"/>
    <w:qFormat/>
    <w:pPr>
      <w:contextualSpacing/>
      <w:ind w:left="720"/>
    </w:pPr>
  </w:style>
  <w:style w:type="paragraph" w:styleId="860" w:customStyle="1">
    <w:name w:val="Основной текст"/>
    <w:pPr>
      <w:contextualSpacing w:val="0"/>
      <w:ind w:left="0" w:right="0" w:firstLine="400"/>
      <w:jc w:val="left"/>
      <w:keepLines w:val="0"/>
      <w:keepNext w:val="0"/>
      <w:pageBreakBefore w:val="0"/>
      <w:spacing w:before="0" w:beforeAutospacing="0" w:after="0" w:afterAutospacing="0" w:line="252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6"/>
      <w:szCs w:val="26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  <w:style w:type="character" w:styleId="861" w:customStyle="1">
    <w:name w:val="Основной текст_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shd w:val="clear" w:color="auto" w:fill="auto"/>
      <w:lang w:val="ru-RU" w:eastAsia="ru-RU" w:bidi="ru-RU"/>
    </w:rPr>
  </w:style>
  <w:style w:type="paragraph" w:styleId="862" w:customStyle="1">
    <w:name w:val="Основной текст (2)"/>
    <w:pPr>
      <w:contextualSpacing w:val="0"/>
      <w:ind w:left="6320" w:right="0" w:firstLine="0"/>
      <w:jc w:val="right"/>
      <w:keepLines w:val="0"/>
      <w:keepNext w:val="0"/>
      <w:pageBreakBefore w:val="0"/>
      <w:spacing w:before="0" w:beforeAutospacing="0" w:after="300" w:afterAutospacing="0" w:line="254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2"/>
      <w:szCs w:val="22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  <w:style w:type="character" w:styleId="863" w:customStyle="1">
    <w:name w:val="Основной текст (2)_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auto"/>
      <w:lang w:val="ru-RU" w:eastAsia="ru-RU" w:bidi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DF24189-0343-4B7D-9D41-2A502337C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Reanimator Extreme Edition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user7kab</cp:lastModifiedBy>
  <cp:revision>21</cp:revision>
  <dcterms:created xsi:type="dcterms:W3CDTF">2023-08-08T04:53:00Z</dcterms:created>
  <dcterms:modified xsi:type="dcterms:W3CDTF">2025-04-18T03:50:46Z</dcterms:modified>
</cp:coreProperties>
</file>